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63" w:rsidRDefault="004E4463" w:rsidP="004E4463">
      <w:pPr>
        <w:jc w:val="center"/>
        <w:rPr>
          <w:sz w:val="96"/>
          <w:szCs w:val="96"/>
        </w:rPr>
      </w:pPr>
    </w:p>
    <w:p w:rsidR="006A7239" w:rsidRPr="004E4463" w:rsidRDefault="004E4463" w:rsidP="004E4463">
      <w:pPr>
        <w:jc w:val="center"/>
        <w:rPr>
          <w:sz w:val="96"/>
          <w:szCs w:val="96"/>
        </w:rPr>
      </w:pPr>
      <w:r w:rsidRPr="004E4463">
        <w:rPr>
          <w:sz w:val="96"/>
          <w:szCs w:val="96"/>
        </w:rPr>
        <w:t>ANNUAL REPORT</w:t>
      </w:r>
    </w:p>
    <w:p w:rsidR="004E4463" w:rsidRPr="004E4463" w:rsidRDefault="004E4463" w:rsidP="004E4463">
      <w:pPr>
        <w:jc w:val="center"/>
        <w:rPr>
          <w:sz w:val="96"/>
          <w:szCs w:val="96"/>
        </w:rPr>
      </w:pPr>
      <w:r w:rsidRPr="004E4463">
        <w:rPr>
          <w:sz w:val="96"/>
          <w:szCs w:val="96"/>
        </w:rPr>
        <w:t>201</w:t>
      </w:r>
      <w:r w:rsidR="003079D8">
        <w:rPr>
          <w:sz w:val="96"/>
          <w:szCs w:val="96"/>
        </w:rPr>
        <w:t>3</w:t>
      </w:r>
    </w:p>
    <w:p w:rsidR="004E4463" w:rsidRDefault="003079D8" w:rsidP="004E4463">
      <w:pPr>
        <w:jc w:val="center"/>
        <w:rPr>
          <w:sz w:val="96"/>
          <w:szCs w:val="96"/>
        </w:rPr>
      </w:pPr>
      <w:r>
        <w:rPr>
          <w:sz w:val="96"/>
          <w:szCs w:val="96"/>
        </w:rPr>
        <w:t xml:space="preserve">Hunt County </w:t>
      </w:r>
    </w:p>
    <w:p w:rsidR="003079D8" w:rsidRDefault="003079D8" w:rsidP="004E4463">
      <w:pPr>
        <w:jc w:val="center"/>
        <w:rPr>
          <w:sz w:val="96"/>
          <w:szCs w:val="96"/>
        </w:rPr>
      </w:pPr>
      <w:r>
        <w:rPr>
          <w:sz w:val="96"/>
          <w:szCs w:val="96"/>
        </w:rPr>
        <w:t>Appraisal District</w:t>
      </w:r>
    </w:p>
    <w:p w:rsidR="003079D8" w:rsidRDefault="003079D8" w:rsidP="004E4463">
      <w:pPr>
        <w:jc w:val="center"/>
        <w:rPr>
          <w:sz w:val="96"/>
          <w:szCs w:val="96"/>
        </w:rPr>
      </w:pPr>
      <w:r>
        <w:rPr>
          <w:noProof/>
        </w:rPr>
        <w:drawing>
          <wp:anchor distT="36576" distB="36576" distL="36576" distR="36576" simplePos="0" relativeHeight="251659264" behindDoc="0" locked="0" layoutInCell="1" allowOverlap="1" wp14:anchorId="2EF9F4DF" wp14:editId="4633E0E9">
            <wp:simplePos x="0" y="0"/>
            <wp:positionH relativeFrom="column">
              <wp:posOffset>1675765</wp:posOffset>
            </wp:positionH>
            <wp:positionV relativeFrom="paragraph">
              <wp:posOffset>210185</wp:posOffset>
            </wp:positionV>
            <wp:extent cx="2886075" cy="2886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463" w:rsidRDefault="004E4463" w:rsidP="004E4463">
      <w:pPr>
        <w:jc w:val="center"/>
        <w:rPr>
          <w:sz w:val="96"/>
          <w:szCs w:val="96"/>
        </w:rPr>
      </w:pPr>
    </w:p>
    <w:p w:rsidR="004E4463" w:rsidRDefault="004E4463" w:rsidP="004E4463">
      <w:pPr>
        <w:jc w:val="center"/>
        <w:rPr>
          <w:sz w:val="96"/>
          <w:szCs w:val="96"/>
        </w:rPr>
      </w:pPr>
    </w:p>
    <w:p w:rsidR="004E4463" w:rsidRDefault="004E4463" w:rsidP="004E4463">
      <w:pPr>
        <w:jc w:val="center"/>
        <w:rPr>
          <w:sz w:val="24"/>
          <w:szCs w:val="24"/>
        </w:rPr>
      </w:pPr>
    </w:p>
    <w:p w:rsidR="004E4463" w:rsidRDefault="004E4463" w:rsidP="004E4463">
      <w:pPr>
        <w:jc w:val="center"/>
        <w:rPr>
          <w:sz w:val="24"/>
          <w:szCs w:val="24"/>
        </w:rPr>
      </w:pPr>
    </w:p>
    <w:p w:rsidR="004E4463" w:rsidRPr="00C728EA" w:rsidRDefault="004E4463" w:rsidP="004E4463">
      <w:pPr>
        <w:rPr>
          <w:b/>
          <w:sz w:val="28"/>
          <w:szCs w:val="28"/>
        </w:rPr>
      </w:pPr>
      <w:r w:rsidRPr="00C728EA">
        <w:rPr>
          <w:b/>
          <w:sz w:val="28"/>
          <w:szCs w:val="28"/>
        </w:rPr>
        <w:t>GENERAL INFORMATION</w:t>
      </w:r>
    </w:p>
    <w:p w:rsidR="004E4463" w:rsidRDefault="004E4463" w:rsidP="00B83215">
      <w:pPr>
        <w:pStyle w:val="BodyText2"/>
        <w:spacing w:before="120" w:after="120" w:line="320" w:lineRule="atLeast"/>
        <w:jc w:val="left"/>
        <w:rPr>
          <w:sz w:val="24"/>
          <w:szCs w:val="24"/>
        </w:rPr>
      </w:pPr>
      <w:r>
        <w:rPr>
          <w:sz w:val="24"/>
          <w:szCs w:val="24"/>
        </w:rPr>
        <w:tab/>
      </w:r>
      <w:r w:rsidR="003079D8" w:rsidRPr="003079D8">
        <w:rPr>
          <w:rFonts w:ascii="Cambria" w:hAnsi="Cambria"/>
        </w:rPr>
        <w:t xml:space="preserve">The </w:t>
      </w:r>
      <w:r w:rsidR="003079D8" w:rsidRPr="003079D8">
        <w:rPr>
          <w:rFonts w:ascii="Cambria" w:hAnsi="Cambria" w:cs="Arial"/>
        </w:rPr>
        <w:t>Hunt County</w:t>
      </w:r>
      <w:r w:rsidR="003079D8" w:rsidRPr="003079D8">
        <w:rPr>
          <w:rFonts w:ascii="Cambria" w:hAnsi="Cambria"/>
        </w:rPr>
        <w:t xml:space="preserve"> </w:t>
      </w:r>
      <w:r w:rsidR="003079D8" w:rsidRPr="003079D8">
        <w:rPr>
          <w:rFonts w:ascii="Cambria" w:hAnsi="Cambria" w:cs="Arial"/>
        </w:rPr>
        <w:t xml:space="preserve">Appraisal District (CAD) is a political subdivision of the State of Texas created effective January 1, 1980.  The provisions of the Texas Property Tax Code govern the legal, statutory, and administrative requirements of the appraisal district.  </w:t>
      </w:r>
      <w:r w:rsidR="000835D4">
        <w:rPr>
          <w:rFonts w:ascii="Cambria" w:hAnsi="Cambria" w:cs="Arial"/>
        </w:rPr>
        <w:t>A</w:t>
      </w:r>
      <w:r w:rsidR="00922363">
        <w:rPr>
          <w:rFonts w:ascii="Cambria" w:hAnsi="Cambria" w:cs="Arial"/>
        </w:rPr>
        <w:t>n</w:t>
      </w:r>
      <w:r w:rsidR="003079D8" w:rsidRPr="003079D8">
        <w:rPr>
          <w:rFonts w:ascii="Cambria" w:hAnsi="Cambria" w:cs="Arial"/>
        </w:rPr>
        <w:t xml:space="preserve"> </w:t>
      </w:r>
      <w:r w:rsidR="00922363">
        <w:rPr>
          <w:rFonts w:ascii="Cambria" w:hAnsi="Cambria" w:cs="Arial"/>
        </w:rPr>
        <w:t xml:space="preserve">8 </w:t>
      </w:r>
      <w:r w:rsidR="003079D8" w:rsidRPr="003079D8">
        <w:rPr>
          <w:rFonts w:ascii="Cambria" w:hAnsi="Cambria" w:cs="Arial"/>
        </w:rPr>
        <w:t xml:space="preserve">member board of directors, appointed by </w:t>
      </w:r>
      <w:r w:rsidR="000835D4">
        <w:rPr>
          <w:rFonts w:ascii="Cambria" w:hAnsi="Cambria" w:cs="Arial"/>
        </w:rPr>
        <w:t>vote of the governing bodies of the taxing authorities in the district</w:t>
      </w:r>
      <w:r w:rsidR="003079D8" w:rsidRPr="003079D8">
        <w:rPr>
          <w:rFonts w:ascii="Cambria" w:hAnsi="Cambria" w:cs="Arial"/>
        </w:rPr>
        <w:t>, constitutes the district’s governing body.  The chief appraiser, appointed by the board of directors, is the chief administrator and chief executive officer of the appraisal district.</w:t>
      </w:r>
    </w:p>
    <w:p w:rsidR="004E4463" w:rsidRDefault="004E4463" w:rsidP="00B83215">
      <w:pPr>
        <w:rPr>
          <w:sz w:val="24"/>
          <w:szCs w:val="24"/>
        </w:rPr>
      </w:pPr>
      <w:r>
        <w:rPr>
          <w:sz w:val="24"/>
          <w:szCs w:val="24"/>
        </w:rPr>
        <w:tab/>
        <w:t>In 201</w:t>
      </w:r>
      <w:r w:rsidR="003079D8">
        <w:rPr>
          <w:sz w:val="24"/>
          <w:szCs w:val="24"/>
        </w:rPr>
        <w:t>3</w:t>
      </w:r>
      <w:r>
        <w:rPr>
          <w:sz w:val="24"/>
          <w:szCs w:val="24"/>
        </w:rPr>
        <w:t xml:space="preserve">, the appraisal district appraised </w:t>
      </w:r>
      <w:r w:rsidR="000835D4">
        <w:rPr>
          <w:sz w:val="24"/>
          <w:szCs w:val="24"/>
        </w:rPr>
        <w:t>69,121</w:t>
      </w:r>
      <w:r w:rsidR="003079D8">
        <w:rPr>
          <w:sz w:val="24"/>
          <w:szCs w:val="24"/>
        </w:rPr>
        <w:t xml:space="preserve"> </w:t>
      </w:r>
      <w:r>
        <w:rPr>
          <w:sz w:val="24"/>
          <w:szCs w:val="24"/>
        </w:rPr>
        <w:t>parcels of property</w:t>
      </w:r>
      <w:r w:rsidR="00B401DC">
        <w:rPr>
          <w:sz w:val="24"/>
          <w:szCs w:val="24"/>
        </w:rPr>
        <w:t xml:space="preserve"> with a total value of $</w:t>
      </w:r>
      <w:r w:rsidR="003079D8">
        <w:rPr>
          <w:sz w:val="24"/>
          <w:szCs w:val="24"/>
        </w:rPr>
        <w:t>7,620,066,075</w:t>
      </w:r>
      <w:r>
        <w:rPr>
          <w:sz w:val="24"/>
          <w:szCs w:val="24"/>
        </w:rPr>
        <w:t xml:space="preserve">.  All appraisals are completed by </w:t>
      </w:r>
      <w:r w:rsidR="003079D8">
        <w:rPr>
          <w:sz w:val="24"/>
          <w:szCs w:val="24"/>
        </w:rPr>
        <w:t xml:space="preserve">the internal </w:t>
      </w:r>
      <w:r>
        <w:rPr>
          <w:sz w:val="24"/>
          <w:szCs w:val="24"/>
        </w:rPr>
        <w:t xml:space="preserve">staff and </w:t>
      </w:r>
      <w:r w:rsidR="003079D8">
        <w:rPr>
          <w:sz w:val="24"/>
          <w:szCs w:val="24"/>
        </w:rPr>
        <w:t>contract appraisers with all properties being appraised annually</w:t>
      </w:r>
      <w:r>
        <w:rPr>
          <w:sz w:val="24"/>
          <w:szCs w:val="24"/>
        </w:rPr>
        <w:t xml:space="preserve">.  Typical properties within the district include </w:t>
      </w:r>
      <w:r w:rsidR="002C55AD">
        <w:rPr>
          <w:sz w:val="24"/>
          <w:szCs w:val="24"/>
        </w:rPr>
        <w:t>34,611 homes</w:t>
      </w:r>
      <w:r>
        <w:rPr>
          <w:sz w:val="24"/>
          <w:szCs w:val="24"/>
        </w:rPr>
        <w:t xml:space="preserve"> and </w:t>
      </w:r>
      <w:r w:rsidR="003079D8">
        <w:rPr>
          <w:sz w:val="24"/>
          <w:szCs w:val="24"/>
        </w:rPr>
        <w:t>2,053</w:t>
      </w:r>
      <w:r>
        <w:rPr>
          <w:sz w:val="24"/>
          <w:szCs w:val="24"/>
        </w:rPr>
        <w:t xml:space="preserve"> commercial properties.  </w:t>
      </w:r>
    </w:p>
    <w:p w:rsidR="003079D8" w:rsidRDefault="003079D8" w:rsidP="003079D8">
      <w:pPr>
        <w:jc w:val="both"/>
        <w:rPr>
          <w:sz w:val="24"/>
          <w:szCs w:val="24"/>
        </w:rPr>
      </w:pPr>
    </w:p>
    <w:p w:rsidR="003D3FEB" w:rsidRDefault="003D3FEB" w:rsidP="003D3FEB">
      <w:pPr>
        <w:jc w:val="center"/>
        <w:rPr>
          <w:sz w:val="24"/>
          <w:szCs w:val="24"/>
        </w:rPr>
      </w:pPr>
    </w:p>
    <w:bookmarkStart w:id="0" w:name="_MON_1436349125"/>
    <w:bookmarkEnd w:id="0"/>
    <w:p w:rsidR="003079D8" w:rsidRDefault="006143B4" w:rsidP="003D3FEB">
      <w:pPr>
        <w:jc w:val="center"/>
        <w:rPr>
          <w:sz w:val="24"/>
          <w:szCs w:val="24"/>
        </w:rPr>
      </w:pPr>
      <w:r>
        <w:rPr>
          <w:sz w:val="24"/>
          <w:szCs w:val="24"/>
        </w:rPr>
        <w:object w:dxaOrig="8014" w:dyaOrig="5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30.25pt" o:ole="">
            <v:imagedata r:id="rId6" o:title=""/>
          </v:shape>
          <o:OLEObject Type="Embed" ProgID="Excel.Sheet.12" ShapeID="_x0000_i1025" DrawAspect="Content" ObjectID="_1441447007" r:id="rId7"/>
        </w:object>
      </w:r>
    </w:p>
    <w:p w:rsidR="00AD67CD" w:rsidRDefault="00AD67CD" w:rsidP="003D3FEB">
      <w:pPr>
        <w:jc w:val="center"/>
        <w:rPr>
          <w:sz w:val="24"/>
          <w:szCs w:val="24"/>
        </w:rPr>
      </w:pPr>
    </w:p>
    <w:p w:rsidR="00245F50" w:rsidRDefault="00245F50" w:rsidP="003D3FEB">
      <w:pPr>
        <w:jc w:val="center"/>
        <w:rPr>
          <w:sz w:val="24"/>
          <w:szCs w:val="24"/>
        </w:rPr>
      </w:pPr>
    </w:p>
    <w:p w:rsidR="00CD3183" w:rsidRDefault="00CD3183" w:rsidP="003D3FEB">
      <w:pPr>
        <w:jc w:val="center"/>
        <w:rPr>
          <w:sz w:val="24"/>
          <w:szCs w:val="24"/>
        </w:rPr>
      </w:pPr>
    </w:p>
    <w:p w:rsidR="003D3FEB" w:rsidRDefault="003D3FEB" w:rsidP="003D3FEB">
      <w:pPr>
        <w:jc w:val="center"/>
        <w:rPr>
          <w:sz w:val="24"/>
          <w:szCs w:val="24"/>
        </w:rPr>
      </w:pPr>
    </w:p>
    <w:p w:rsidR="003D3FEB" w:rsidRDefault="003D3FEB" w:rsidP="003D3FEB">
      <w:pPr>
        <w:jc w:val="center"/>
        <w:rPr>
          <w:b/>
          <w:sz w:val="24"/>
          <w:szCs w:val="24"/>
        </w:rPr>
      </w:pPr>
      <w:r w:rsidRPr="00C553D7">
        <w:rPr>
          <w:b/>
          <w:sz w:val="24"/>
          <w:szCs w:val="24"/>
        </w:rPr>
        <w:lastRenderedPageBreak/>
        <w:t>PROPERTY TYPES AND VALUE DISTRIBUTION</w:t>
      </w:r>
    </w:p>
    <w:p w:rsidR="007B38F2" w:rsidRPr="00C553D7" w:rsidRDefault="007B38F2" w:rsidP="003D3FEB">
      <w:pPr>
        <w:jc w:val="center"/>
        <w:rPr>
          <w:b/>
          <w:sz w:val="24"/>
          <w:szCs w:val="24"/>
        </w:rPr>
      </w:pPr>
    </w:p>
    <w:p w:rsidR="005B6A42" w:rsidRDefault="00245F50" w:rsidP="005B6A42">
      <w:pPr>
        <w:jc w:val="center"/>
        <w:rPr>
          <w:sz w:val="24"/>
          <w:szCs w:val="24"/>
        </w:rPr>
      </w:pPr>
      <w:r>
        <w:rPr>
          <w:noProof/>
          <w:sz w:val="24"/>
          <w:szCs w:val="24"/>
        </w:rPr>
        <w:drawing>
          <wp:inline distT="0" distB="0" distL="0" distR="0" wp14:anchorId="12031A30" wp14:editId="1C10630E">
            <wp:extent cx="6315075" cy="7439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01DC" w:rsidRDefault="00B401DC" w:rsidP="00B83215">
      <w:pPr>
        <w:jc w:val="both"/>
        <w:rPr>
          <w:sz w:val="24"/>
          <w:szCs w:val="24"/>
        </w:rPr>
      </w:pPr>
      <w:r>
        <w:rPr>
          <w:sz w:val="24"/>
          <w:szCs w:val="24"/>
        </w:rPr>
        <w:lastRenderedPageBreak/>
        <w:tab/>
        <w:t xml:space="preserve">Most of the tax units offer some level of homestead exemption to </w:t>
      </w:r>
      <w:r w:rsidR="00493998">
        <w:rPr>
          <w:sz w:val="24"/>
          <w:szCs w:val="24"/>
        </w:rPr>
        <w:t>18,543</w:t>
      </w:r>
      <w:r>
        <w:rPr>
          <w:sz w:val="24"/>
          <w:szCs w:val="24"/>
        </w:rPr>
        <w:t xml:space="preserve"> residential homesteads in the county.  All schools are required to grant a $15,000 value exemption to regular homesteads and an additional $10,000 of value to Over-65 and disabled persons.  Other tax units may grant a percentage homestead up to 20% based on annual decisions by their governing body or voters.  In addition, any </w:t>
      </w:r>
      <w:r w:rsidR="00A53DAD">
        <w:rPr>
          <w:sz w:val="24"/>
          <w:szCs w:val="24"/>
        </w:rPr>
        <w:t>amount of exemption may be set by tax units for the Over-65 or disabled including schools that would add on to the state mandated exemptions.</w:t>
      </w:r>
    </w:p>
    <w:p w:rsidR="00A53DAD" w:rsidRDefault="00A53DAD" w:rsidP="00B83215">
      <w:pPr>
        <w:jc w:val="both"/>
        <w:rPr>
          <w:sz w:val="24"/>
          <w:szCs w:val="24"/>
        </w:rPr>
      </w:pPr>
      <w:r>
        <w:rPr>
          <w:sz w:val="24"/>
          <w:szCs w:val="24"/>
        </w:rPr>
        <w:tab/>
      </w:r>
      <w:r w:rsidR="002F7B47">
        <w:rPr>
          <w:sz w:val="24"/>
          <w:szCs w:val="24"/>
        </w:rPr>
        <w:t>Approximately 28</w:t>
      </w:r>
      <w:r w:rsidR="002C55AD">
        <w:rPr>
          <w:sz w:val="24"/>
          <w:szCs w:val="24"/>
        </w:rPr>
        <w:t>% of</w:t>
      </w:r>
      <w:r>
        <w:rPr>
          <w:sz w:val="24"/>
          <w:szCs w:val="24"/>
        </w:rPr>
        <w:t xml:space="preserve"> the county is totally exempt from taxation.  </w:t>
      </w:r>
      <w:r w:rsidR="002F7B47">
        <w:rPr>
          <w:sz w:val="24"/>
          <w:szCs w:val="24"/>
        </w:rPr>
        <w:t>Other than property owned by local taxing entities, The University of Texas A &amp; M at Commerce is the largest valued exempt taxpayer</w:t>
      </w:r>
      <w:r>
        <w:rPr>
          <w:sz w:val="24"/>
          <w:szCs w:val="24"/>
        </w:rPr>
        <w:t>.  Other totally exempt properties include typical properties such as public schools, churches, city and county owned properties, and numerous charitable organizations.</w:t>
      </w:r>
    </w:p>
    <w:p w:rsidR="00A53DAD" w:rsidRDefault="00A53DAD" w:rsidP="00B83215">
      <w:pPr>
        <w:jc w:val="both"/>
        <w:rPr>
          <w:sz w:val="24"/>
          <w:szCs w:val="24"/>
        </w:rPr>
      </w:pPr>
      <w:r>
        <w:rPr>
          <w:sz w:val="24"/>
          <w:szCs w:val="24"/>
        </w:rPr>
        <w:tab/>
        <w:t xml:space="preserve">New </w:t>
      </w:r>
      <w:r w:rsidR="002F7B47">
        <w:rPr>
          <w:sz w:val="24"/>
          <w:szCs w:val="24"/>
        </w:rPr>
        <w:t xml:space="preserve">taxable value of $78,376,270 was added to the tax rolls.  This represented 1.028% of the Total Market Value. </w:t>
      </w:r>
      <w:r>
        <w:rPr>
          <w:sz w:val="24"/>
          <w:szCs w:val="24"/>
        </w:rPr>
        <w:t xml:space="preserve">  Of that new </w:t>
      </w:r>
      <w:r w:rsidR="00CA1590">
        <w:rPr>
          <w:sz w:val="24"/>
          <w:szCs w:val="24"/>
        </w:rPr>
        <w:t>value</w:t>
      </w:r>
      <w:r>
        <w:rPr>
          <w:sz w:val="24"/>
          <w:szCs w:val="24"/>
        </w:rPr>
        <w:t>, $</w:t>
      </w:r>
      <w:r w:rsidR="002F7B47">
        <w:rPr>
          <w:sz w:val="24"/>
          <w:szCs w:val="24"/>
        </w:rPr>
        <w:t>45,658,995</w:t>
      </w:r>
      <w:r>
        <w:rPr>
          <w:sz w:val="24"/>
          <w:szCs w:val="24"/>
        </w:rPr>
        <w:t xml:space="preserve"> was in new </w:t>
      </w:r>
      <w:r w:rsidR="002F7B47">
        <w:rPr>
          <w:sz w:val="24"/>
          <w:szCs w:val="24"/>
        </w:rPr>
        <w:t>residential housing</w:t>
      </w:r>
      <w:r>
        <w:rPr>
          <w:sz w:val="24"/>
          <w:szCs w:val="24"/>
        </w:rPr>
        <w:t>.  Commercial property added an additional $</w:t>
      </w:r>
      <w:r w:rsidR="002F7B47">
        <w:rPr>
          <w:sz w:val="24"/>
          <w:szCs w:val="24"/>
        </w:rPr>
        <w:t>12,867,910</w:t>
      </w:r>
      <w:r>
        <w:rPr>
          <w:sz w:val="24"/>
          <w:szCs w:val="24"/>
        </w:rPr>
        <w:t>.</w:t>
      </w:r>
    </w:p>
    <w:p w:rsidR="00A53DAD" w:rsidRPr="00F6039D" w:rsidRDefault="00A53DAD" w:rsidP="004E4463">
      <w:pPr>
        <w:rPr>
          <w:b/>
          <w:sz w:val="28"/>
          <w:szCs w:val="28"/>
        </w:rPr>
      </w:pPr>
      <w:r w:rsidRPr="00F6039D">
        <w:rPr>
          <w:b/>
          <w:sz w:val="28"/>
          <w:szCs w:val="28"/>
        </w:rPr>
        <w:t>APPRAISAL DISTRICT RECOGNITION AND CHANGES</w:t>
      </w:r>
    </w:p>
    <w:p w:rsidR="00C553D7" w:rsidRPr="00CA1590" w:rsidRDefault="00A53DAD" w:rsidP="00B83215">
      <w:pPr>
        <w:jc w:val="both"/>
        <w:rPr>
          <w:sz w:val="24"/>
          <w:szCs w:val="24"/>
          <w:highlight w:val="yellow"/>
        </w:rPr>
      </w:pPr>
      <w:r w:rsidRPr="00F6039D">
        <w:rPr>
          <w:sz w:val="24"/>
          <w:szCs w:val="24"/>
        </w:rPr>
        <w:tab/>
      </w:r>
      <w:r w:rsidR="000835D4" w:rsidRPr="00F6039D">
        <w:rPr>
          <w:sz w:val="24"/>
          <w:szCs w:val="24"/>
        </w:rPr>
        <w:t>Hunt County Appraisal District strives to b</w:t>
      </w:r>
      <w:r w:rsidR="007E19F3" w:rsidRPr="00F6039D">
        <w:rPr>
          <w:sz w:val="24"/>
          <w:szCs w:val="24"/>
        </w:rPr>
        <w:t>e recognized state-wide as a leader in accuracy of appraisal and the use of t</w:t>
      </w:r>
      <w:r w:rsidR="00C553D7" w:rsidRPr="00F6039D">
        <w:rPr>
          <w:sz w:val="24"/>
          <w:szCs w:val="24"/>
        </w:rPr>
        <w:t>echnology to improve</w:t>
      </w:r>
      <w:r w:rsidR="007E19F3" w:rsidRPr="00F6039D">
        <w:rPr>
          <w:sz w:val="24"/>
          <w:szCs w:val="24"/>
        </w:rPr>
        <w:t xml:space="preserve"> appraisal</w:t>
      </w:r>
      <w:r w:rsidR="00C553D7" w:rsidRPr="00F6039D">
        <w:rPr>
          <w:sz w:val="24"/>
          <w:szCs w:val="24"/>
        </w:rPr>
        <w:t>s</w:t>
      </w:r>
      <w:r w:rsidR="007E19F3" w:rsidRPr="00F6039D">
        <w:rPr>
          <w:sz w:val="24"/>
          <w:szCs w:val="24"/>
        </w:rPr>
        <w:t xml:space="preserve"> and efficiency of the office</w:t>
      </w:r>
      <w:r w:rsidR="000835D4" w:rsidRPr="00F6039D">
        <w:rPr>
          <w:sz w:val="24"/>
          <w:szCs w:val="24"/>
        </w:rPr>
        <w:t xml:space="preserve"> as well as providing  a  taxpayer friendly service to the public</w:t>
      </w:r>
      <w:r w:rsidR="007E19F3" w:rsidRPr="00F6039D">
        <w:rPr>
          <w:sz w:val="24"/>
          <w:szCs w:val="24"/>
        </w:rPr>
        <w:t>.  The budget of the District for 201</w:t>
      </w:r>
      <w:r w:rsidR="000835D4" w:rsidRPr="00F6039D">
        <w:rPr>
          <w:sz w:val="24"/>
          <w:szCs w:val="24"/>
        </w:rPr>
        <w:t>3</w:t>
      </w:r>
      <w:r w:rsidR="007E19F3" w:rsidRPr="00F6039D">
        <w:rPr>
          <w:sz w:val="24"/>
          <w:szCs w:val="24"/>
        </w:rPr>
        <w:t xml:space="preserve"> was $</w:t>
      </w:r>
      <w:r w:rsidR="00F6039D" w:rsidRPr="00F6039D">
        <w:rPr>
          <w:sz w:val="24"/>
          <w:szCs w:val="24"/>
        </w:rPr>
        <w:t>1,9241,808</w:t>
      </w:r>
      <w:r w:rsidR="007E19F3" w:rsidRPr="00F6039D">
        <w:rPr>
          <w:sz w:val="24"/>
          <w:szCs w:val="24"/>
        </w:rPr>
        <w:t xml:space="preserve"> or $</w:t>
      </w:r>
      <w:r w:rsidR="00F6039D" w:rsidRPr="00F6039D">
        <w:rPr>
          <w:sz w:val="24"/>
          <w:szCs w:val="24"/>
        </w:rPr>
        <w:t xml:space="preserve">27.85 </w:t>
      </w:r>
      <w:r w:rsidR="007E19F3" w:rsidRPr="00F6039D">
        <w:rPr>
          <w:sz w:val="24"/>
          <w:szCs w:val="24"/>
        </w:rPr>
        <w:t xml:space="preserve"> per parcel.  </w:t>
      </w:r>
      <w:r w:rsidR="00C553D7" w:rsidRPr="00F6039D">
        <w:rPr>
          <w:sz w:val="24"/>
          <w:szCs w:val="24"/>
        </w:rPr>
        <w:tab/>
      </w:r>
      <w:r w:rsidR="00C553D7" w:rsidRPr="00CA1590">
        <w:rPr>
          <w:sz w:val="24"/>
          <w:szCs w:val="24"/>
          <w:highlight w:val="yellow"/>
        </w:rPr>
        <w:t xml:space="preserve"> </w:t>
      </w:r>
    </w:p>
    <w:p w:rsidR="00266E9B" w:rsidRPr="00B83215" w:rsidRDefault="00266E9B" w:rsidP="004E4463">
      <w:pPr>
        <w:rPr>
          <w:b/>
          <w:sz w:val="28"/>
          <w:szCs w:val="28"/>
        </w:rPr>
      </w:pPr>
      <w:r w:rsidRPr="00B83215">
        <w:rPr>
          <w:b/>
          <w:sz w:val="28"/>
          <w:szCs w:val="28"/>
        </w:rPr>
        <w:t>INTERNAL AND STATE RATIO STUDIES</w:t>
      </w:r>
    </w:p>
    <w:p w:rsidR="00266E9B" w:rsidRPr="00B83215" w:rsidRDefault="00266E9B" w:rsidP="00B83215">
      <w:pPr>
        <w:jc w:val="both"/>
        <w:rPr>
          <w:sz w:val="24"/>
          <w:szCs w:val="24"/>
        </w:rPr>
      </w:pPr>
      <w:r w:rsidRPr="00B83215">
        <w:rPr>
          <w:sz w:val="24"/>
          <w:szCs w:val="24"/>
        </w:rPr>
        <w:tab/>
        <w:t>The State Comptroller does a biennial ratio study.  The last ratio study</w:t>
      </w:r>
      <w:r w:rsidR="00B83215" w:rsidRPr="00B83215">
        <w:rPr>
          <w:sz w:val="24"/>
          <w:szCs w:val="24"/>
        </w:rPr>
        <w:t xml:space="preserve"> for the entire county was performed in 2011 and a</w:t>
      </w:r>
      <w:r w:rsidR="009A028B">
        <w:rPr>
          <w:sz w:val="24"/>
          <w:szCs w:val="24"/>
        </w:rPr>
        <w:t xml:space="preserve"> </w:t>
      </w:r>
      <w:r w:rsidR="00B83215" w:rsidRPr="00B83215">
        <w:rPr>
          <w:sz w:val="24"/>
          <w:szCs w:val="24"/>
        </w:rPr>
        <w:t xml:space="preserve"> </w:t>
      </w:r>
      <w:r w:rsidRPr="00B83215">
        <w:rPr>
          <w:sz w:val="24"/>
          <w:szCs w:val="24"/>
        </w:rPr>
        <w:t xml:space="preserve"> summary is included in this report.  The </w:t>
      </w:r>
      <w:r w:rsidR="00B83215" w:rsidRPr="00B83215">
        <w:rPr>
          <w:sz w:val="24"/>
          <w:szCs w:val="24"/>
        </w:rPr>
        <w:t>Median Level of Appraisal</w:t>
      </w:r>
      <w:r w:rsidRPr="00B83215">
        <w:rPr>
          <w:sz w:val="24"/>
          <w:szCs w:val="24"/>
        </w:rPr>
        <w:t xml:space="preserve"> determined by the Comptroller was </w:t>
      </w:r>
      <w:r w:rsidR="00B83215" w:rsidRPr="00B83215">
        <w:rPr>
          <w:sz w:val="24"/>
          <w:szCs w:val="24"/>
        </w:rPr>
        <w:t>100</w:t>
      </w:r>
      <w:r w:rsidRPr="00B83215">
        <w:rPr>
          <w:sz w:val="24"/>
          <w:szCs w:val="24"/>
        </w:rPr>
        <w:t xml:space="preserve">% with a coefficient of dispersion </w:t>
      </w:r>
      <w:r w:rsidR="003072F6" w:rsidRPr="00B83215">
        <w:rPr>
          <w:sz w:val="24"/>
          <w:szCs w:val="24"/>
        </w:rPr>
        <w:t xml:space="preserve">(COD) </w:t>
      </w:r>
      <w:r w:rsidRPr="00B83215">
        <w:rPr>
          <w:sz w:val="24"/>
          <w:szCs w:val="24"/>
        </w:rPr>
        <w:t xml:space="preserve">of </w:t>
      </w:r>
      <w:r w:rsidR="00B83215" w:rsidRPr="00B83215">
        <w:rPr>
          <w:sz w:val="24"/>
          <w:szCs w:val="24"/>
        </w:rPr>
        <w:t>15.19</w:t>
      </w:r>
      <w:r w:rsidR="009A3875" w:rsidRPr="00B83215">
        <w:rPr>
          <w:sz w:val="24"/>
          <w:szCs w:val="24"/>
        </w:rPr>
        <w:t xml:space="preserve">.  The price-related deferential </w:t>
      </w:r>
      <w:r w:rsidR="003072F6" w:rsidRPr="00B83215">
        <w:rPr>
          <w:sz w:val="24"/>
          <w:szCs w:val="24"/>
        </w:rPr>
        <w:t xml:space="preserve">(PRD) </w:t>
      </w:r>
      <w:r w:rsidR="009A3875" w:rsidRPr="00B83215">
        <w:rPr>
          <w:sz w:val="24"/>
          <w:szCs w:val="24"/>
        </w:rPr>
        <w:t>was 1.0</w:t>
      </w:r>
      <w:r w:rsidR="00B83215" w:rsidRPr="00B83215">
        <w:rPr>
          <w:sz w:val="24"/>
          <w:szCs w:val="24"/>
        </w:rPr>
        <w:t>9</w:t>
      </w:r>
      <w:r w:rsidR="009A3875" w:rsidRPr="00B83215">
        <w:rPr>
          <w:sz w:val="24"/>
          <w:szCs w:val="24"/>
        </w:rPr>
        <w:t xml:space="preserve">.  </w:t>
      </w:r>
    </w:p>
    <w:p w:rsidR="00B83215" w:rsidRPr="00B83215" w:rsidRDefault="00B83215" w:rsidP="00B83215">
      <w:pPr>
        <w:jc w:val="both"/>
        <w:rPr>
          <w:sz w:val="24"/>
          <w:szCs w:val="24"/>
        </w:rPr>
      </w:pPr>
      <w:r w:rsidRPr="00B83215">
        <w:rPr>
          <w:sz w:val="24"/>
          <w:szCs w:val="24"/>
        </w:rPr>
        <w:tab/>
        <w:t>The internal ratio study for the 2013 Residential Certified Values indicated a weighted mean of 98.39% and an average mean of 99.36%.  The COD was 6.11 and the PRD was 1.0099.</w:t>
      </w:r>
      <w:r w:rsidR="008C7C25">
        <w:rPr>
          <w:sz w:val="24"/>
          <w:szCs w:val="24"/>
        </w:rPr>
        <w:t xml:space="preserve">  These internal ratios were performed using verified valid sales from the period May 1, 2012 thru April 30, 2013.  </w:t>
      </w:r>
      <w:r w:rsidR="009A028B">
        <w:rPr>
          <w:sz w:val="24"/>
          <w:szCs w:val="24"/>
        </w:rPr>
        <w:t>These measurements meet the standards set by the International Association of Assessing Officers.</w:t>
      </w:r>
    </w:p>
    <w:p w:rsidR="00B83215" w:rsidRDefault="00B83215" w:rsidP="004E4463">
      <w:pPr>
        <w:rPr>
          <w:sz w:val="24"/>
          <w:szCs w:val="24"/>
        </w:rPr>
      </w:pPr>
    </w:p>
    <w:p w:rsidR="00B83215" w:rsidRDefault="00B83215" w:rsidP="004E4463">
      <w:pPr>
        <w:rPr>
          <w:sz w:val="24"/>
          <w:szCs w:val="24"/>
        </w:rPr>
      </w:pPr>
    </w:p>
    <w:p w:rsidR="00B83215" w:rsidRDefault="00B83215" w:rsidP="004E4463">
      <w:pPr>
        <w:rPr>
          <w:sz w:val="24"/>
          <w:szCs w:val="24"/>
        </w:rPr>
      </w:pPr>
    </w:p>
    <w:p w:rsidR="00B83215" w:rsidRDefault="00B83215" w:rsidP="004E4463">
      <w:pPr>
        <w:rPr>
          <w:sz w:val="24"/>
          <w:szCs w:val="24"/>
        </w:rPr>
      </w:pPr>
    </w:p>
    <w:p w:rsidR="00B83215" w:rsidRDefault="00B83215" w:rsidP="004E4463">
      <w:pPr>
        <w:rPr>
          <w:sz w:val="24"/>
          <w:szCs w:val="24"/>
        </w:rPr>
      </w:pPr>
    </w:p>
    <w:p w:rsidR="00213622" w:rsidRPr="00213622" w:rsidRDefault="00213622" w:rsidP="002136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3622">
        <w:rPr>
          <w:rFonts w:ascii="Times New Roman" w:eastAsia="Times New Roman" w:hAnsi="Times New Roman" w:cs="Times New Roman"/>
          <w:b/>
          <w:bCs/>
          <w:kern w:val="36"/>
          <w:sz w:val="48"/>
          <w:szCs w:val="48"/>
        </w:rPr>
        <w:t xml:space="preserve">2011 Property Value Study </w:t>
      </w:r>
      <w:r w:rsidRPr="00213622">
        <w:rPr>
          <w:rFonts w:ascii="Times New Roman" w:eastAsia="Times New Roman" w:hAnsi="Times New Roman" w:cs="Times New Roman"/>
          <w:b/>
          <w:bCs/>
          <w:kern w:val="36"/>
          <w:sz w:val="48"/>
          <w:szCs w:val="48"/>
        </w:rPr>
        <w:br/>
        <w:t xml:space="preserve">CAD Summary Worksheet </w:t>
      </w:r>
      <w:r w:rsidRPr="00213622">
        <w:rPr>
          <w:rFonts w:ascii="Times New Roman" w:eastAsia="Times New Roman" w:hAnsi="Times New Roman" w:cs="Times New Roman"/>
          <w:b/>
          <w:bCs/>
          <w:kern w:val="36"/>
          <w:sz w:val="48"/>
          <w:szCs w:val="48"/>
        </w:rPr>
        <w:br/>
      </w:r>
      <w:r w:rsidRPr="00213622">
        <w:rPr>
          <w:rFonts w:ascii="Times New Roman" w:eastAsia="Times New Roman" w:hAnsi="Times New Roman" w:cs="Times New Roman"/>
          <w:b/>
          <w:bCs/>
          <w:kern w:val="36"/>
          <w:sz w:val="48"/>
          <w:szCs w:val="48"/>
        </w:rPr>
        <w:br/>
        <w:t xml:space="preserve">116 Hunt </w:t>
      </w:r>
    </w:p>
    <w:p w:rsidR="00213622" w:rsidRPr="00213622" w:rsidRDefault="00213622" w:rsidP="00213622">
      <w:pPr>
        <w:spacing w:after="0" w:line="240" w:lineRule="auto"/>
        <w:rPr>
          <w:rFonts w:ascii="Times New Roman" w:eastAsia="Times New Roman" w:hAnsi="Times New Roman" w:cs="Times New Roman"/>
          <w:sz w:val="24"/>
          <w:szCs w:val="24"/>
        </w:rPr>
      </w:pPr>
    </w:p>
    <w:tbl>
      <w:tblPr>
        <w:tblW w:w="0" w:type="auto"/>
        <w:tblBorders>
          <w:top w:val="single" w:sz="6" w:space="0" w:color="666666"/>
          <w:left w:val="single" w:sz="6" w:space="0" w:color="666666"/>
        </w:tblBorders>
        <w:tblCellMar>
          <w:top w:w="15" w:type="dxa"/>
          <w:left w:w="15" w:type="dxa"/>
          <w:bottom w:w="15" w:type="dxa"/>
          <w:right w:w="15" w:type="dxa"/>
        </w:tblCellMar>
        <w:tblLook w:val="04A0" w:firstRow="1" w:lastRow="0" w:firstColumn="1" w:lastColumn="0" w:noHBand="0" w:noVBand="1"/>
      </w:tblPr>
      <w:tblGrid>
        <w:gridCol w:w="1360"/>
        <w:gridCol w:w="1023"/>
        <w:gridCol w:w="1560"/>
        <w:gridCol w:w="959"/>
        <w:gridCol w:w="1291"/>
        <w:gridCol w:w="979"/>
        <w:gridCol w:w="979"/>
        <w:gridCol w:w="1359"/>
      </w:tblGrid>
      <w:tr w:rsidR="00213622" w:rsidRPr="00213622" w:rsidTr="00213622">
        <w:trPr>
          <w:tblHeader/>
        </w:trPr>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Category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Number of Ratios **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2011 CAD Rept Appraised Value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Median Level of Appr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Coefficient of Dispersion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 Ratios w/in (+/-) 10% of Median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 Ratios w/in (+/-) 25% of Median </w:t>
            </w:r>
          </w:p>
        </w:tc>
        <w:tc>
          <w:tcPr>
            <w:tcW w:w="0" w:type="auto"/>
            <w:tcBorders>
              <w:bottom w:val="single" w:sz="6" w:space="0" w:color="666666"/>
              <w:right w:val="single" w:sz="6" w:space="0" w:color="666666"/>
            </w:tcBorders>
            <w:shd w:val="clear" w:color="auto" w:fill="CBD899"/>
            <w:tcMar>
              <w:top w:w="75" w:type="dxa"/>
              <w:left w:w="75" w:type="dxa"/>
              <w:bottom w:w="75" w:type="dxa"/>
              <w:right w:w="75" w:type="dxa"/>
            </w:tcMar>
            <w:vAlign w:val="bottom"/>
            <w:hideMark/>
          </w:tcPr>
          <w:p w:rsidR="00213622" w:rsidRPr="00213622" w:rsidRDefault="00213622" w:rsidP="00213622">
            <w:pPr>
              <w:spacing w:after="0" w:line="240" w:lineRule="auto"/>
              <w:jc w:val="center"/>
              <w:rPr>
                <w:rFonts w:ascii="Times New Roman" w:eastAsia="Times New Roman" w:hAnsi="Times New Roman" w:cs="Times New Roman"/>
                <w:b/>
                <w:bCs/>
                <w:sz w:val="24"/>
                <w:szCs w:val="24"/>
              </w:rPr>
            </w:pPr>
            <w:r w:rsidRPr="00213622">
              <w:rPr>
                <w:rFonts w:ascii="Times New Roman" w:eastAsia="Times New Roman" w:hAnsi="Times New Roman" w:cs="Times New Roman"/>
                <w:b/>
                <w:bCs/>
                <w:sz w:val="24"/>
                <w:szCs w:val="24"/>
              </w:rPr>
              <w:t xml:space="preserve">Price-Related Differential </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A. Single-Family Residences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658</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1,841,037,680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1.01</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11.32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68.69</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90.42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1.02</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B. Multi-Family Residences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41</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131,086,667</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C. Vacant Lots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117</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133,613,185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D. Rural Real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178</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1,921,290,019</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28.88</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42.13</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70.22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1.14</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F1. Commercial Real</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122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462,040,932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.95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10.27</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64.75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92.62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1.01</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F2. Industrial Real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88,545,120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G. Oil, Gas, Minerals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J. Utilities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7</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122,708,165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1.11</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13.39</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71.42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71.42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.89</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L1. Commercial </w:t>
            </w:r>
            <w:r w:rsidRPr="00213622">
              <w:rPr>
                <w:rFonts w:ascii="Times New Roman" w:eastAsia="Times New Roman" w:hAnsi="Times New Roman" w:cs="Times New Roman"/>
                <w:sz w:val="24"/>
                <w:szCs w:val="24"/>
              </w:rPr>
              <w:lastRenderedPageBreak/>
              <w:t xml:space="preserve">Personal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lastRenderedPageBreak/>
              <w:t>51</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200,592,655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lastRenderedPageBreak/>
              <w:t xml:space="preserve">L2. Industrial Personal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454,476,861</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M. Other Personal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43,588,805</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O. Residential Inventory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19,430,980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S. Special Inventory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14,626,780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w:t>
            </w:r>
          </w:p>
        </w:tc>
      </w:tr>
      <w:tr w:rsidR="00213622" w:rsidRPr="00213622" w:rsidTr="00213622">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Overall </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1,174</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5,433,037,849</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1.00</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15.19</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61.07</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84.92</w:t>
            </w:r>
          </w:p>
        </w:tc>
        <w:tc>
          <w:tcPr>
            <w:tcW w:w="0" w:type="auto"/>
            <w:tcBorders>
              <w:bottom w:val="single" w:sz="6" w:space="0" w:color="666666"/>
              <w:right w:val="single" w:sz="6" w:space="0" w:color="666666"/>
            </w:tcBorders>
            <w:tcMar>
              <w:top w:w="75" w:type="dxa"/>
              <w:left w:w="75" w:type="dxa"/>
              <w:bottom w:w="75" w:type="dxa"/>
              <w:right w:w="75" w:type="dxa"/>
            </w:tcMar>
            <w:vAlign w:val="bottom"/>
            <w:hideMark/>
          </w:tcPr>
          <w:p w:rsidR="00213622" w:rsidRPr="00213622" w:rsidRDefault="00213622" w:rsidP="00213622">
            <w:pPr>
              <w:spacing w:after="0" w:line="240" w:lineRule="auto"/>
              <w:jc w:val="right"/>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1.09</w:t>
            </w:r>
          </w:p>
        </w:tc>
      </w:tr>
    </w:tbl>
    <w:p w:rsidR="00213622" w:rsidRPr="00213622" w:rsidRDefault="00213622" w:rsidP="00213622">
      <w:pPr>
        <w:spacing w:before="100" w:beforeAutospacing="1" w:after="100" w:afterAutospacing="1" w:line="240" w:lineRule="auto"/>
        <w:rPr>
          <w:rFonts w:ascii="Times New Roman" w:eastAsia="Times New Roman" w:hAnsi="Times New Roman" w:cs="Times New Roman"/>
          <w:sz w:val="24"/>
          <w:szCs w:val="24"/>
        </w:rPr>
      </w:pPr>
      <w:r w:rsidRPr="00213622">
        <w:rPr>
          <w:rFonts w:ascii="Times New Roman" w:eastAsia="Times New Roman" w:hAnsi="Times New Roman" w:cs="Times New Roman"/>
          <w:sz w:val="24"/>
          <w:szCs w:val="24"/>
        </w:rPr>
        <w:t xml:space="preserve">* Not Calculated - Need a minimum of 5 ratios from either (A) categories representing at least 25% of total CAD category value or (B) 5 ISDs or half the ISDs in the CAD, whichever is less </w:t>
      </w:r>
      <w:r w:rsidRPr="00213622">
        <w:rPr>
          <w:rFonts w:ascii="Times New Roman" w:eastAsia="Times New Roman" w:hAnsi="Times New Roman" w:cs="Times New Roman"/>
          <w:sz w:val="24"/>
          <w:szCs w:val="24"/>
        </w:rPr>
        <w:br/>
        <w:t>** Statistical measures may not be reliable when the sample is small</w:t>
      </w:r>
    </w:p>
    <w:p w:rsidR="005B6A42" w:rsidRPr="00CA1590" w:rsidRDefault="005B6A42" w:rsidP="004E4463">
      <w:pPr>
        <w:rPr>
          <w:sz w:val="24"/>
          <w:szCs w:val="24"/>
          <w:highlight w:val="yellow"/>
        </w:rPr>
      </w:pPr>
    </w:p>
    <w:p w:rsidR="00EC2351" w:rsidRPr="00CA1590" w:rsidRDefault="00EC2351" w:rsidP="00FE50AE">
      <w:pPr>
        <w:jc w:val="both"/>
        <w:rPr>
          <w:sz w:val="24"/>
          <w:szCs w:val="24"/>
          <w:highlight w:val="yellow"/>
        </w:rPr>
      </w:pPr>
    </w:p>
    <w:p w:rsidR="00C553D7" w:rsidRPr="00FE50AE" w:rsidRDefault="00C553D7" w:rsidP="00FE50AE">
      <w:pPr>
        <w:jc w:val="both"/>
        <w:rPr>
          <w:b/>
          <w:sz w:val="28"/>
          <w:szCs w:val="28"/>
        </w:rPr>
      </w:pPr>
      <w:r w:rsidRPr="00FE50AE">
        <w:rPr>
          <w:b/>
          <w:sz w:val="28"/>
          <w:szCs w:val="28"/>
        </w:rPr>
        <w:t>LEGISLATIVE CHANGES</w:t>
      </w:r>
    </w:p>
    <w:p w:rsidR="00C553D7" w:rsidRPr="00FE50AE" w:rsidRDefault="00C553D7" w:rsidP="00FE50AE">
      <w:pPr>
        <w:jc w:val="both"/>
        <w:rPr>
          <w:sz w:val="24"/>
          <w:szCs w:val="24"/>
        </w:rPr>
      </w:pPr>
      <w:r w:rsidRPr="00FE50AE">
        <w:rPr>
          <w:sz w:val="24"/>
          <w:szCs w:val="24"/>
        </w:rPr>
        <w:tab/>
        <w:t xml:space="preserve">The Texas Legislature meets in odd-numbered years.  </w:t>
      </w:r>
      <w:r w:rsidR="00B83215" w:rsidRPr="00FE50AE">
        <w:rPr>
          <w:sz w:val="24"/>
          <w:szCs w:val="24"/>
        </w:rPr>
        <w:t xml:space="preserve">There were </w:t>
      </w:r>
      <w:r w:rsidRPr="00FE50AE">
        <w:rPr>
          <w:sz w:val="24"/>
          <w:szCs w:val="24"/>
        </w:rPr>
        <w:t xml:space="preserve">significant </w:t>
      </w:r>
      <w:r w:rsidR="00B83215" w:rsidRPr="00FE50AE">
        <w:rPr>
          <w:sz w:val="24"/>
          <w:szCs w:val="24"/>
        </w:rPr>
        <w:t xml:space="preserve">Texas Property Tax Law </w:t>
      </w:r>
      <w:r w:rsidRPr="00FE50AE">
        <w:rPr>
          <w:sz w:val="24"/>
          <w:szCs w:val="24"/>
        </w:rPr>
        <w:t xml:space="preserve">changes </w:t>
      </w:r>
      <w:r w:rsidR="00B83215" w:rsidRPr="00FE50AE">
        <w:rPr>
          <w:sz w:val="24"/>
          <w:szCs w:val="24"/>
        </w:rPr>
        <w:t>made during the 2013 session.   These changes are explained in the booklet “</w:t>
      </w:r>
      <w:hyperlink r:id="rId9" w:history="1">
        <w:r w:rsidR="00B83215" w:rsidRPr="002C64FB">
          <w:rPr>
            <w:rStyle w:val="Hyperlink"/>
            <w:sz w:val="24"/>
            <w:szCs w:val="24"/>
          </w:rPr>
          <w:t>Texas Property Tax</w:t>
        </w:r>
        <w:bookmarkStart w:id="1" w:name="_GoBack"/>
        <w:bookmarkEnd w:id="1"/>
        <w:r w:rsidR="00B83215" w:rsidRPr="002C64FB">
          <w:rPr>
            <w:rStyle w:val="Hyperlink"/>
            <w:sz w:val="24"/>
            <w:szCs w:val="24"/>
          </w:rPr>
          <w:t xml:space="preserve"> Law Changes 2013</w:t>
        </w:r>
      </w:hyperlink>
      <w:r w:rsidR="00B83215" w:rsidRPr="00FE50AE">
        <w:rPr>
          <w:sz w:val="24"/>
          <w:szCs w:val="24"/>
        </w:rPr>
        <w:t>” published by the Property Tax Assistance division of the Texas Comptroller of Public Accounts Office.</w:t>
      </w:r>
    </w:p>
    <w:p w:rsidR="00C553D7" w:rsidRPr="00FE50AE" w:rsidRDefault="00C553D7" w:rsidP="00FE50AE">
      <w:pPr>
        <w:jc w:val="both"/>
        <w:rPr>
          <w:b/>
          <w:sz w:val="28"/>
          <w:szCs w:val="28"/>
        </w:rPr>
      </w:pPr>
      <w:r w:rsidRPr="00FE50AE">
        <w:rPr>
          <w:b/>
          <w:sz w:val="28"/>
          <w:szCs w:val="28"/>
        </w:rPr>
        <w:t>APPEAL DATA</w:t>
      </w:r>
    </w:p>
    <w:p w:rsidR="00C728EA" w:rsidRPr="004E4463" w:rsidRDefault="00C553D7" w:rsidP="00763AD5">
      <w:pPr>
        <w:jc w:val="both"/>
        <w:rPr>
          <w:sz w:val="24"/>
          <w:szCs w:val="24"/>
        </w:rPr>
      </w:pPr>
      <w:r w:rsidRPr="00FE50AE">
        <w:rPr>
          <w:sz w:val="24"/>
          <w:szCs w:val="24"/>
        </w:rPr>
        <w:tab/>
        <w:t>In 201</w:t>
      </w:r>
      <w:r w:rsidR="00B83215" w:rsidRPr="00FE50AE">
        <w:rPr>
          <w:sz w:val="24"/>
          <w:szCs w:val="24"/>
        </w:rPr>
        <w:t>3</w:t>
      </w:r>
      <w:r w:rsidR="00CF5901" w:rsidRPr="00FE50AE">
        <w:rPr>
          <w:sz w:val="24"/>
          <w:szCs w:val="24"/>
        </w:rPr>
        <w:t xml:space="preserve">, </w:t>
      </w:r>
      <w:r w:rsidR="00FE50AE" w:rsidRPr="00FE50AE">
        <w:rPr>
          <w:sz w:val="24"/>
          <w:szCs w:val="24"/>
        </w:rPr>
        <w:t>3,170</w:t>
      </w:r>
      <w:r w:rsidR="00CF5901" w:rsidRPr="00FE50AE">
        <w:rPr>
          <w:sz w:val="24"/>
          <w:szCs w:val="24"/>
        </w:rPr>
        <w:t xml:space="preserve"> value appeals were filed.  Of those, 1</w:t>
      </w:r>
      <w:r w:rsidR="00FE50AE" w:rsidRPr="00FE50AE">
        <w:rPr>
          <w:sz w:val="24"/>
          <w:szCs w:val="24"/>
        </w:rPr>
        <w:t>,823</w:t>
      </w:r>
      <w:r w:rsidR="00CF5901" w:rsidRPr="00FE50AE">
        <w:rPr>
          <w:sz w:val="24"/>
          <w:szCs w:val="24"/>
        </w:rPr>
        <w:t xml:space="preserve"> were handled informally by staff.  </w:t>
      </w:r>
      <w:r w:rsidR="00FE50AE" w:rsidRPr="00FE50AE">
        <w:rPr>
          <w:sz w:val="24"/>
          <w:szCs w:val="24"/>
        </w:rPr>
        <w:t>309 parcels were protested before</w:t>
      </w:r>
      <w:r w:rsidR="00CF5901" w:rsidRPr="00FE50AE">
        <w:rPr>
          <w:sz w:val="24"/>
          <w:szCs w:val="24"/>
        </w:rPr>
        <w:t xml:space="preserve"> the Appraisal Review Board.  </w:t>
      </w:r>
      <w:r w:rsidR="00CF5901" w:rsidRPr="00511B86">
        <w:rPr>
          <w:sz w:val="24"/>
          <w:szCs w:val="24"/>
        </w:rPr>
        <w:t>The total value appealed for the year was $</w:t>
      </w:r>
      <w:r w:rsidR="00511B86" w:rsidRPr="00511B86">
        <w:rPr>
          <w:sz w:val="24"/>
          <w:szCs w:val="24"/>
        </w:rPr>
        <w:t>663,331,439</w:t>
      </w:r>
      <w:r w:rsidR="00CF5901" w:rsidRPr="00511B86">
        <w:rPr>
          <w:sz w:val="24"/>
          <w:szCs w:val="24"/>
        </w:rPr>
        <w:t>.  The value referred to the ARB was $</w:t>
      </w:r>
      <w:r w:rsidR="00511B86" w:rsidRPr="00511B86">
        <w:rPr>
          <w:sz w:val="24"/>
          <w:szCs w:val="24"/>
        </w:rPr>
        <w:t>83,636,777</w:t>
      </w:r>
      <w:r w:rsidR="00CF5901" w:rsidRPr="00511B86">
        <w:rPr>
          <w:sz w:val="24"/>
          <w:szCs w:val="24"/>
        </w:rPr>
        <w:t>.  Most of the cases sent to the ARB were withdrawn prior to formal hearing.</w:t>
      </w:r>
      <w:r w:rsidR="00C728EA">
        <w:rPr>
          <w:sz w:val="24"/>
          <w:szCs w:val="24"/>
        </w:rPr>
        <w:tab/>
      </w:r>
    </w:p>
    <w:sectPr w:rsidR="00C728EA" w:rsidRPr="004E4463" w:rsidSect="006A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63"/>
    <w:rsid w:val="0000004E"/>
    <w:rsid w:val="00002658"/>
    <w:rsid w:val="00005A71"/>
    <w:rsid w:val="00006BBF"/>
    <w:rsid w:val="00011665"/>
    <w:rsid w:val="00013F5E"/>
    <w:rsid w:val="000259D7"/>
    <w:rsid w:val="00032EDE"/>
    <w:rsid w:val="0003431E"/>
    <w:rsid w:val="000368C1"/>
    <w:rsid w:val="00043F09"/>
    <w:rsid w:val="000444F9"/>
    <w:rsid w:val="00046099"/>
    <w:rsid w:val="00051CDD"/>
    <w:rsid w:val="00055EC4"/>
    <w:rsid w:val="000561A6"/>
    <w:rsid w:val="0005758A"/>
    <w:rsid w:val="00057A87"/>
    <w:rsid w:val="00062915"/>
    <w:rsid w:val="00064E15"/>
    <w:rsid w:val="00064F44"/>
    <w:rsid w:val="00066851"/>
    <w:rsid w:val="000671D2"/>
    <w:rsid w:val="00067F01"/>
    <w:rsid w:val="000732D9"/>
    <w:rsid w:val="00074BAC"/>
    <w:rsid w:val="00076471"/>
    <w:rsid w:val="000769B4"/>
    <w:rsid w:val="0007738E"/>
    <w:rsid w:val="0008074B"/>
    <w:rsid w:val="0008203A"/>
    <w:rsid w:val="000835D4"/>
    <w:rsid w:val="000876F4"/>
    <w:rsid w:val="000900C2"/>
    <w:rsid w:val="00090832"/>
    <w:rsid w:val="00093E0A"/>
    <w:rsid w:val="00096526"/>
    <w:rsid w:val="00096CA7"/>
    <w:rsid w:val="000A6E09"/>
    <w:rsid w:val="000B449C"/>
    <w:rsid w:val="000B73A6"/>
    <w:rsid w:val="000B7E29"/>
    <w:rsid w:val="000C03EB"/>
    <w:rsid w:val="000C6AD5"/>
    <w:rsid w:val="000D0E8B"/>
    <w:rsid w:val="000D6202"/>
    <w:rsid w:val="000D639F"/>
    <w:rsid w:val="000D7304"/>
    <w:rsid w:val="000F3900"/>
    <w:rsid w:val="00101AC9"/>
    <w:rsid w:val="00103F87"/>
    <w:rsid w:val="00105D3F"/>
    <w:rsid w:val="00115D0A"/>
    <w:rsid w:val="0012009B"/>
    <w:rsid w:val="001254BC"/>
    <w:rsid w:val="00126E9C"/>
    <w:rsid w:val="00126F10"/>
    <w:rsid w:val="001276D2"/>
    <w:rsid w:val="0013200C"/>
    <w:rsid w:val="0013361D"/>
    <w:rsid w:val="00133DFF"/>
    <w:rsid w:val="001364E8"/>
    <w:rsid w:val="001369FB"/>
    <w:rsid w:val="001413DE"/>
    <w:rsid w:val="0014157B"/>
    <w:rsid w:val="0014314F"/>
    <w:rsid w:val="0014451C"/>
    <w:rsid w:val="001517FE"/>
    <w:rsid w:val="001526C9"/>
    <w:rsid w:val="001532DA"/>
    <w:rsid w:val="00154839"/>
    <w:rsid w:val="00163CBD"/>
    <w:rsid w:val="001714EB"/>
    <w:rsid w:val="00172691"/>
    <w:rsid w:val="00180CA1"/>
    <w:rsid w:val="00183AD6"/>
    <w:rsid w:val="00186487"/>
    <w:rsid w:val="00186A08"/>
    <w:rsid w:val="00190C3A"/>
    <w:rsid w:val="00193183"/>
    <w:rsid w:val="00193D24"/>
    <w:rsid w:val="00193E53"/>
    <w:rsid w:val="00193ECB"/>
    <w:rsid w:val="001949CE"/>
    <w:rsid w:val="00195AAD"/>
    <w:rsid w:val="001967B2"/>
    <w:rsid w:val="001969D7"/>
    <w:rsid w:val="00197CF2"/>
    <w:rsid w:val="001A5642"/>
    <w:rsid w:val="001A612D"/>
    <w:rsid w:val="001A687D"/>
    <w:rsid w:val="001A75A3"/>
    <w:rsid w:val="001A7BB0"/>
    <w:rsid w:val="001B120F"/>
    <w:rsid w:val="001B278F"/>
    <w:rsid w:val="001B5009"/>
    <w:rsid w:val="001C3708"/>
    <w:rsid w:val="001C4386"/>
    <w:rsid w:val="001C726C"/>
    <w:rsid w:val="001C7ACA"/>
    <w:rsid w:val="001D0E61"/>
    <w:rsid w:val="001D362B"/>
    <w:rsid w:val="001D4EF3"/>
    <w:rsid w:val="001D4FA9"/>
    <w:rsid w:val="001D5EEA"/>
    <w:rsid w:val="001E242A"/>
    <w:rsid w:val="001E58D6"/>
    <w:rsid w:val="001F0AE9"/>
    <w:rsid w:val="001F3466"/>
    <w:rsid w:val="001F34F5"/>
    <w:rsid w:val="002058A4"/>
    <w:rsid w:val="00210033"/>
    <w:rsid w:val="002105A4"/>
    <w:rsid w:val="00213622"/>
    <w:rsid w:val="00214588"/>
    <w:rsid w:val="002152E1"/>
    <w:rsid w:val="00220935"/>
    <w:rsid w:val="00220FB5"/>
    <w:rsid w:val="00223C15"/>
    <w:rsid w:val="0022417E"/>
    <w:rsid w:val="002243E5"/>
    <w:rsid w:val="00224A95"/>
    <w:rsid w:val="00224EB6"/>
    <w:rsid w:val="002250F8"/>
    <w:rsid w:val="00225761"/>
    <w:rsid w:val="002319CC"/>
    <w:rsid w:val="00233306"/>
    <w:rsid w:val="002337E2"/>
    <w:rsid w:val="00236F57"/>
    <w:rsid w:val="002374AB"/>
    <w:rsid w:val="002418E5"/>
    <w:rsid w:val="00242408"/>
    <w:rsid w:val="002426B0"/>
    <w:rsid w:val="002436EF"/>
    <w:rsid w:val="00243D6D"/>
    <w:rsid w:val="00245F50"/>
    <w:rsid w:val="0024794C"/>
    <w:rsid w:val="0025266B"/>
    <w:rsid w:val="00252F15"/>
    <w:rsid w:val="002543F6"/>
    <w:rsid w:val="00260C3F"/>
    <w:rsid w:val="00262BC4"/>
    <w:rsid w:val="00264C06"/>
    <w:rsid w:val="002655B3"/>
    <w:rsid w:val="00266077"/>
    <w:rsid w:val="00266E9B"/>
    <w:rsid w:val="00270730"/>
    <w:rsid w:val="002709CD"/>
    <w:rsid w:val="00273089"/>
    <w:rsid w:val="00286FD6"/>
    <w:rsid w:val="00290E77"/>
    <w:rsid w:val="002915CE"/>
    <w:rsid w:val="00293551"/>
    <w:rsid w:val="00296CC1"/>
    <w:rsid w:val="00297279"/>
    <w:rsid w:val="002A0116"/>
    <w:rsid w:val="002A0F19"/>
    <w:rsid w:val="002A340E"/>
    <w:rsid w:val="002A643E"/>
    <w:rsid w:val="002A79F0"/>
    <w:rsid w:val="002B34AE"/>
    <w:rsid w:val="002B5937"/>
    <w:rsid w:val="002B7D41"/>
    <w:rsid w:val="002B7F83"/>
    <w:rsid w:val="002C17F5"/>
    <w:rsid w:val="002C2344"/>
    <w:rsid w:val="002C55AD"/>
    <w:rsid w:val="002C5830"/>
    <w:rsid w:val="002C64FB"/>
    <w:rsid w:val="002C7A5B"/>
    <w:rsid w:val="002C7F40"/>
    <w:rsid w:val="002D1866"/>
    <w:rsid w:val="002D3385"/>
    <w:rsid w:val="002D4014"/>
    <w:rsid w:val="002D77DB"/>
    <w:rsid w:val="002E3DA8"/>
    <w:rsid w:val="002F0DE8"/>
    <w:rsid w:val="002F2D38"/>
    <w:rsid w:val="002F7B47"/>
    <w:rsid w:val="002F7FDF"/>
    <w:rsid w:val="00302135"/>
    <w:rsid w:val="003032E7"/>
    <w:rsid w:val="003072F6"/>
    <w:rsid w:val="003079D8"/>
    <w:rsid w:val="00307D79"/>
    <w:rsid w:val="00311E87"/>
    <w:rsid w:val="00313147"/>
    <w:rsid w:val="00314DCF"/>
    <w:rsid w:val="0031686E"/>
    <w:rsid w:val="003178B4"/>
    <w:rsid w:val="00317BB4"/>
    <w:rsid w:val="00321FB5"/>
    <w:rsid w:val="00322591"/>
    <w:rsid w:val="00324331"/>
    <w:rsid w:val="0032551E"/>
    <w:rsid w:val="0032719E"/>
    <w:rsid w:val="00330BE7"/>
    <w:rsid w:val="003328A6"/>
    <w:rsid w:val="003332E8"/>
    <w:rsid w:val="0033511C"/>
    <w:rsid w:val="003356CC"/>
    <w:rsid w:val="0033798F"/>
    <w:rsid w:val="00340A93"/>
    <w:rsid w:val="003415A4"/>
    <w:rsid w:val="00343BB4"/>
    <w:rsid w:val="00346A37"/>
    <w:rsid w:val="00351ABC"/>
    <w:rsid w:val="003564AC"/>
    <w:rsid w:val="00360483"/>
    <w:rsid w:val="00360DC9"/>
    <w:rsid w:val="00361606"/>
    <w:rsid w:val="00361BFD"/>
    <w:rsid w:val="00363F64"/>
    <w:rsid w:val="00367DE1"/>
    <w:rsid w:val="00372281"/>
    <w:rsid w:val="00380774"/>
    <w:rsid w:val="00381288"/>
    <w:rsid w:val="0038166B"/>
    <w:rsid w:val="00383720"/>
    <w:rsid w:val="00384661"/>
    <w:rsid w:val="0039298A"/>
    <w:rsid w:val="0039319F"/>
    <w:rsid w:val="00393ECA"/>
    <w:rsid w:val="003941AD"/>
    <w:rsid w:val="003948CC"/>
    <w:rsid w:val="00394F38"/>
    <w:rsid w:val="0039541D"/>
    <w:rsid w:val="003A25E9"/>
    <w:rsid w:val="003A3131"/>
    <w:rsid w:val="003A3BE3"/>
    <w:rsid w:val="003A4095"/>
    <w:rsid w:val="003A542D"/>
    <w:rsid w:val="003B1694"/>
    <w:rsid w:val="003B3C72"/>
    <w:rsid w:val="003C351F"/>
    <w:rsid w:val="003C3C93"/>
    <w:rsid w:val="003C3F8E"/>
    <w:rsid w:val="003C5F55"/>
    <w:rsid w:val="003D013D"/>
    <w:rsid w:val="003D207C"/>
    <w:rsid w:val="003D3730"/>
    <w:rsid w:val="003D3CB0"/>
    <w:rsid w:val="003D3FEB"/>
    <w:rsid w:val="003D4D72"/>
    <w:rsid w:val="003D64E3"/>
    <w:rsid w:val="003E0363"/>
    <w:rsid w:val="003E19C2"/>
    <w:rsid w:val="003E1CF6"/>
    <w:rsid w:val="003E5B19"/>
    <w:rsid w:val="003E78F1"/>
    <w:rsid w:val="003F179D"/>
    <w:rsid w:val="003F2407"/>
    <w:rsid w:val="003F4614"/>
    <w:rsid w:val="003F6497"/>
    <w:rsid w:val="0040206D"/>
    <w:rsid w:val="00402C07"/>
    <w:rsid w:val="00406022"/>
    <w:rsid w:val="00412CFF"/>
    <w:rsid w:val="004146D4"/>
    <w:rsid w:val="00417513"/>
    <w:rsid w:val="0042738C"/>
    <w:rsid w:val="004276A0"/>
    <w:rsid w:val="0042798D"/>
    <w:rsid w:val="00437F84"/>
    <w:rsid w:val="00444BA8"/>
    <w:rsid w:val="0044766A"/>
    <w:rsid w:val="00450044"/>
    <w:rsid w:val="00453507"/>
    <w:rsid w:val="00455080"/>
    <w:rsid w:val="00460951"/>
    <w:rsid w:val="0046106D"/>
    <w:rsid w:val="00462F7C"/>
    <w:rsid w:val="00464D46"/>
    <w:rsid w:val="004658F6"/>
    <w:rsid w:val="00465DC2"/>
    <w:rsid w:val="00471F4F"/>
    <w:rsid w:val="00474385"/>
    <w:rsid w:val="004778D3"/>
    <w:rsid w:val="0048081D"/>
    <w:rsid w:val="00482A68"/>
    <w:rsid w:val="00483772"/>
    <w:rsid w:val="00485FDA"/>
    <w:rsid w:val="0048606C"/>
    <w:rsid w:val="00486481"/>
    <w:rsid w:val="00486B19"/>
    <w:rsid w:val="004934DB"/>
    <w:rsid w:val="00493998"/>
    <w:rsid w:val="004976CD"/>
    <w:rsid w:val="00497B4A"/>
    <w:rsid w:val="004A083B"/>
    <w:rsid w:val="004A2F44"/>
    <w:rsid w:val="004A561C"/>
    <w:rsid w:val="004A59A3"/>
    <w:rsid w:val="004A7A0A"/>
    <w:rsid w:val="004B1E2F"/>
    <w:rsid w:val="004B3DD2"/>
    <w:rsid w:val="004C3CF9"/>
    <w:rsid w:val="004C7D89"/>
    <w:rsid w:val="004D0987"/>
    <w:rsid w:val="004D2138"/>
    <w:rsid w:val="004D30AE"/>
    <w:rsid w:val="004D3464"/>
    <w:rsid w:val="004D5CFF"/>
    <w:rsid w:val="004D7E0A"/>
    <w:rsid w:val="004E004B"/>
    <w:rsid w:val="004E15FC"/>
    <w:rsid w:val="004E1781"/>
    <w:rsid w:val="004E27A7"/>
    <w:rsid w:val="004E32DA"/>
    <w:rsid w:val="004E32E4"/>
    <w:rsid w:val="004E4463"/>
    <w:rsid w:val="004E66BD"/>
    <w:rsid w:val="004F3D6B"/>
    <w:rsid w:val="00500FDA"/>
    <w:rsid w:val="00503637"/>
    <w:rsid w:val="005048D5"/>
    <w:rsid w:val="00510537"/>
    <w:rsid w:val="00511B86"/>
    <w:rsid w:val="005122F9"/>
    <w:rsid w:val="005138F2"/>
    <w:rsid w:val="00513F06"/>
    <w:rsid w:val="00514E90"/>
    <w:rsid w:val="00517481"/>
    <w:rsid w:val="00520519"/>
    <w:rsid w:val="00520992"/>
    <w:rsid w:val="00520F0F"/>
    <w:rsid w:val="00524AB1"/>
    <w:rsid w:val="005337A6"/>
    <w:rsid w:val="00534CDD"/>
    <w:rsid w:val="00534F17"/>
    <w:rsid w:val="005353CF"/>
    <w:rsid w:val="0054150A"/>
    <w:rsid w:val="00542565"/>
    <w:rsid w:val="005426C1"/>
    <w:rsid w:val="00552ADC"/>
    <w:rsid w:val="00556A38"/>
    <w:rsid w:val="00565294"/>
    <w:rsid w:val="00565F18"/>
    <w:rsid w:val="00566E86"/>
    <w:rsid w:val="00571D64"/>
    <w:rsid w:val="005728BB"/>
    <w:rsid w:val="00575E7C"/>
    <w:rsid w:val="005852E4"/>
    <w:rsid w:val="0058572F"/>
    <w:rsid w:val="0059136D"/>
    <w:rsid w:val="005952F5"/>
    <w:rsid w:val="00597185"/>
    <w:rsid w:val="0059791E"/>
    <w:rsid w:val="005A0B13"/>
    <w:rsid w:val="005A6EBD"/>
    <w:rsid w:val="005B21FD"/>
    <w:rsid w:val="005B617B"/>
    <w:rsid w:val="005B6A42"/>
    <w:rsid w:val="005C0746"/>
    <w:rsid w:val="005C164F"/>
    <w:rsid w:val="005C3475"/>
    <w:rsid w:val="005C57E3"/>
    <w:rsid w:val="005C65CF"/>
    <w:rsid w:val="005C7174"/>
    <w:rsid w:val="005D2621"/>
    <w:rsid w:val="005E115A"/>
    <w:rsid w:val="005E3781"/>
    <w:rsid w:val="005E4D0E"/>
    <w:rsid w:val="005E559F"/>
    <w:rsid w:val="005E623A"/>
    <w:rsid w:val="005E6F05"/>
    <w:rsid w:val="005F208C"/>
    <w:rsid w:val="005F35D4"/>
    <w:rsid w:val="005F42E9"/>
    <w:rsid w:val="00600B4C"/>
    <w:rsid w:val="00603696"/>
    <w:rsid w:val="00603D18"/>
    <w:rsid w:val="00606D3D"/>
    <w:rsid w:val="006143B4"/>
    <w:rsid w:val="0061630C"/>
    <w:rsid w:val="00616D7F"/>
    <w:rsid w:val="006175EF"/>
    <w:rsid w:val="006210B9"/>
    <w:rsid w:val="00621A60"/>
    <w:rsid w:val="00621D93"/>
    <w:rsid w:val="00621DCC"/>
    <w:rsid w:val="00621FCA"/>
    <w:rsid w:val="00622632"/>
    <w:rsid w:val="006230B9"/>
    <w:rsid w:val="00623588"/>
    <w:rsid w:val="0063354F"/>
    <w:rsid w:val="00633A9B"/>
    <w:rsid w:val="00635E9A"/>
    <w:rsid w:val="006372B1"/>
    <w:rsid w:val="006423CD"/>
    <w:rsid w:val="00642A36"/>
    <w:rsid w:val="006455E2"/>
    <w:rsid w:val="0065253C"/>
    <w:rsid w:val="00656012"/>
    <w:rsid w:val="00662EE5"/>
    <w:rsid w:val="00664927"/>
    <w:rsid w:val="00665DC7"/>
    <w:rsid w:val="00671B56"/>
    <w:rsid w:val="006845F8"/>
    <w:rsid w:val="006847C2"/>
    <w:rsid w:val="00686674"/>
    <w:rsid w:val="006901FE"/>
    <w:rsid w:val="0069137B"/>
    <w:rsid w:val="00691E29"/>
    <w:rsid w:val="00693135"/>
    <w:rsid w:val="00693FEC"/>
    <w:rsid w:val="0069472B"/>
    <w:rsid w:val="00696866"/>
    <w:rsid w:val="00697969"/>
    <w:rsid w:val="006A0D63"/>
    <w:rsid w:val="006A1893"/>
    <w:rsid w:val="006A291E"/>
    <w:rsid w:val="006A3161"/>
    <w:rsid w:val="006A7239"/>
    <w:rsid w:val="006B1083"/>
    <w:rsid w:val="006B3707"/>
    <w:rsid w:val="006B7CC1"/>
    <w:rsid w:val="006C3FDB"/>
    <w:rsid w:val="006C511F"/>
    <w:rsid w:val="006D0D7A"/>
    <w:rsid w:val="006D4ED9"/>
    <w:rsid w:val="006D5634"/>
    <w:rsid w:val="006D622E"/>
    <w:rsid w:val="006D7807"/>
    <w:rsid w:val="006E15E3"/>
    <w:rsid w:val="006E31EC"/>
    <w:rsid w:val="006E40FA"/>
    <w:rsid w:val="006E4C9C"/>
    <w:rsid w:val="006E5C78"/>
    <w:rsid w:val="006E5F39"/>
    <w:rsid w:val="006F293C"/>
    <w:rsid w:val="006F3497"/>
    <w:rsid w:val="006F6632"/>
    <w:rsid w:val="0070055C"/>
    <w:rsid w:val="00701038"/>
    <w:rsid w:val="007011BB"/>
    <w:rsid w:val="0070145B"/>
    <w:rsid w:val="0070157C"/>
    <w:rsid w:val="00705048"/>
    <w:rsid w:val="00710F5A"/>
    <w:rsid w:val="00711453"/>
    <w:rsid w:val="00713652"/>
    <w:rsid w:val="0072113F"/>
    <w:rsid w:val="00722B19"/>
    <w:rsid w:val="0073099F"/>
    <w:rsid w:val="00731096"/>
    <w:rsid w:val="00735198"/>
    <w:rsid w:val="0073643D"/>
    <w:rsid w:val="007364B2"/>
    <w:rsid w:val="00737A9A"/>
    <w:rsid w:val="007449DB"/>
    <w:rsid w:val="00746792"/>
    <w:rsid w:val="00747B06"/>
    <w:rsid w:val="0075015A"/>
    <w:rsid w:val="00751E67"/>
    <w:rsid w:val="007579D1"/>
    <w:rsid w:val="00762EA7"/>
    <w:rsid w:val="00763AD5"/>
    <w:rsid w:val="00764D2B"/>
    <w:rsid w:val="00765506"/>
    <w:rsid w:val="00770572"/>
    <w:rsid w:val="00771706"/>
    <w:rsid w:val="00772CE7"/>
    <w:rsid w:val="007766CD"/>
    <w:rsid w:val="0077684F"/>
    <w:rsid w:val="007774CE"/>
    <w:rsid w:val="00777BA2"/>
    <w:rsid w:val="00780919"/>
    <w:rsid w:val="00781923"/>
    <w:rsid w:val="0078626A"/>
    <w:rsid w:val="0079220B"/>
    <w:rsid w:val="007A081C"/>
    <w:rsid w:val="007A12D9"/>
    <w:rsid w:val="007A1C79"/>
    <w:rsid w:val="007A24FF"/>
    <w:rsid w:val="007A2A3C"/>
    <w:rsid w:val="007A4767"/>
    <w:rsid w:val="007A694B"/>
    <w:rsid w:val="007A7E71"/>
    <w:rsid w:val="007B0B67"/>
    <w:rsid w:val="007B38F2"/>
    <w:rsid w:val="007B411B"/>
    <w:rsid w:val="007B4A83"/>
    <w:rsid w:val="007B5534"/>
    <w:rsid w:val="007C5D1D"/>
    <w:rsid w:val="007C654E"/>
    <w:rsid w:val="007D4966"/>
    <w:rsid w:val="007D7E59"/>
    <w:rsid w:val="007E19F3"/>
    <w:rsid w:val="007E48CC"/>
    <w:rsid w:val="007E4D75"/>
    <w:rsid w:val="007E72B1"/>
    <w:rsid w:val="007F34AF"/>
    <w:rsid w:val="007F3656"/>
    <w:rsid w:val="007F3C8A"/>
    <w:rsid w:val="0080144A"/>
    <w:rsid w:val="00803912"/>
    <w:rsid w:val="00803FEA"/>
    <w:rsid w:val="008048F9"/>
    <w:rsid w:val="008078DC"/>
    <w:rsid w:val="00811214"/>
    <w:rsid w:val="00816FE6"/>
    <w:rsid w:val="008206BA"/>
    <w:rsid w:val="00820D5D"/>
    <w:rsid w:val="008217BD"/>
    <w:rsid w:val="008222B8"/>
    <w:rsid w:val="00826093"/>
    <w:rsid w:val="00826926"/>
    <w:rsid w:val="008310F0"/>
    <w:rsid w:val="008345C0"/>
    <w:rsid w:val="00837ABD"/>
    <w:rsid w:val="00837E31"/>
    <w:rsid w:val="008448AF"/>
    <w:rsid w:val="00844BA8"/>
    <w:rsid w:val="00847C9D"/>
    <w:rsid w:val="00854825"/>
    <w:rsid w:val="00854EAE"/>
    <w:rsid w:val="00856DAA"/>
    <w:rsid w:val="00857E34"/>
    <w:rsid w:val="008626CA"/>
    <w:rsid w:val="008678D6"/>
    <w:rsid w:val="008719CC"/>
    <w:rsid w:val="00872AB3"/>
    <w:rsid w:val="00875C96"/>
    <w:rsid w:val="0088044A"/>
    <w:rsid w:val="00886821"/>
    <w:rsid w:val="008923D4"/>
    <w:rsid w:val="00892643"/>
    <w:rsid w:val="0089302A"/>
    <w:rsid w:val="008A1EDF"/>
    <w:rsid w:val="008A7057"/>
    <w:rsid w:val="008A780B"/>
    <w:rsid w:val="008B06D3"/>
    <w:rsid w:val="008B1E90"/>
    <w:rsid w:val="008B3D6A"/>
    <w:rsid w:val="008B7447"/>
    <w:rsid w:val="008C0EF5"/>
    <w:rsid w:val="008C2FAB"/>
    <w:rsid w:val="008C356D"/>
    <w:rsid w:val="008C45B6"/>
    <w:rsid w:val="008C579D"/>
    <w:rsid w:val="008C5AA1"/>
    <w:rsid w:val="008C68BF"/>
    <w:rsid w:val="008C6B91"/>
    <w:rsid w:val="008C76C5"/>
    <w:rsid w:val="008C7C25"/>
    <w:rsid w:val="008D2D03"/>
    <w:rsid w:val="008E13A2"/>
    <w:rsid w:val="008E2B4A"/>
    <w:rsid w:val="008E51EF"/>
    <w:rsid w:val="008E67E7"/>
    <w:rsid w:val="008E6A58"/>
    <w:rsid w:val="008E7D92"/>
    <w:rsid w:val="008F66A1"/>
    <w:rsid w:val="00904243"/>
    <w:rsid w:val="0090429F"/>
    <w:rsid w:val="0090558C"/>
    <w:rsid w:val="009057BA"/>
    <w:rsid w:val="00905FBC"/>
    <w:rsid w:val="0090789B"/>
    <w:rsid w:val="009151D5"/>
    <w:rsid w:val="009156F6"/>
    <w:rsid w:val="009216A9"/>
    <w:rsid w:val="00922363"/>
    <w:rsid w:val="00922A8C"/>
    <w:rsid w:val="00922C3A"/>
    <w:rsid w:val="00923F02"/>
    <w:rsid w:val="0092410B"/>
    <w:rsid w:val="0092493A"/>
    <w:rsid w:val="00930255"/>
    <w:rsid w:val="00947A34"/>
    <w:rsid w:val="00947AA9"/>
    <w:rsid w:val="00955050"/>
    <w:rsid w:val="00955415"/>
    <w:rsid w:val="00955AAD"/>
    <w:rsid w:val="009609E5"/>
    <w:rsid w:val="009663BD"/>
    <w:rsid w:val="00967F46"/>
    <w:rsid w:val="00970763"/>
    <w:rsid w:val="00970DFB"/>
    <w:rsid w:val="0097582C"/>
    <w:rsid w:val="00980BDA"/>
    <w:rsid w:val="00982685"/>
    <w:rsid w:val="009846DF"/>
    <w:rsid w:val="00987431"/>
    <w:rsid w:val="00991AB9"/>
    <w:rsid w:val="00992261"/>
    <w:rsid w:val="0099284C"/>
    <w:rsid w:val="00992962"/>
    <w:rsid w:val="00992B4E"/>
    <w:rsid w:val="009934DF"/>
    <w:rsid w:val="00993F6F"/>
    <w:rsid w:val="00996311"/>
    <w:rsid w:val="00996E74"/>
    <w:rsid w:val="009A028B"/>
    <w:rsid w:val="009A211E"/>
    <w:rsid w:val="009A3009"/>
    <w:rsid w:val="009A35E8"/>
    <w:rsid w:val="009A3875"/>
    <w:rsid w:val="009A7737"/>
    <w:rsid w:val="009A7B4A"/>
    <w:rsid w:val="009A7BA5"/>
    <w:rsid w:val="009B04AA"/>
    <w:rsid w:val="009B077E"/>
    <w:rsid w:val="009B2FDD"/>
    <w:rsid w:val="009B6440"/>
    <w:rsid w:val="009B6E0F"/>
    <w:rsid w:val="009B7C82"/>
    <w:rsid w:val="009C12EA"/>
    <w:rsid w:val="009C2A58"/>
    <w:rsid w:val="009C4DA8"/>
    <w:rsid w:val="009C777C"/>
    <w:rsid w:val="009D14EB"/>
    <w:rsid w:val="009D66BA"/>
    <w:rsid w:val="009E4115"/>
    <w:rsid w:val="009E6492"/>
    <w:rsid w:val="009F355B"/>
    <w:rsid w:val="009F611F"/>
    <w:rsid w:val="00A06AE8"/>
    <w:rsid w:val="00A113A7"/>
    <w:rsid w:val="00A12F62"/>
    <w:rsid w:val="00A1343B"/>
    <w:rsid w:val="00A16EDF"/>
    <w:rsid w:val="00A2202C"/>
    <w:rsid w:val="00A22563"/>
    <w:rsid w:val="00A2258F"/>
    <w:rsid w:val="00A23AE8"/>
    <w:rsid w:val="00A30997"/>
    <w:rsid w:val="00A32043"/>
    <w:rsid w:val="00A32A84"/>
    <w:rsid w:val="00A33EC6"/>
    <w:rsid w:val="00A352C4"/>
    <w:rsid w:val="00A361D6"/>
    <w:rsid w:val="00A406EB"/>
    <w:rsid w:val="00A40907"/>
    <w:rsid w:val="00A41EE9"/>
    <w:rsid w:val="00A50608"/>
    <w:rsid w:val="00A51B8E"/>
    <w:rsid w:val="00A53DAD"/>
    <w:rsid w:val="00A543D2"/>
    <w:rsid w:val="00A5505E"/>
    <w:rsid w:val="00A62902"/>
    <w:rsid w:val="00A62CF3"/>
    <w:rsid w:val="00A62F0C"/>
    <w:rsid w:val="00A64552"/>
    <w:rsid w:val="00A65C2B"/>
    <w:rsid w:val="00A71679"/>
    <w:rsid w:val="00A744BE"/>
    <w:rsid w:val="00A74894"/>
    <w:rsid w:val="00A76F05"/>
    <w:rsid w:val="00A77B70"/>
    <w:rsid w:val="00A8772F"/>
    <w:rsid w:val="00A92075"/>
    <w:rsid w:val="00A927E6"/>
    <w:rsid w:val="00A92DC4"/>
    <w:rsid w:val="00A94DAE"/>
    <w:rsid w:val="00A95952"/>
    <w:rsid w:val="00A9741D"/>
    <w:rsid w:val="00AA1509"/>
    <w:rsid w:val="00AA23F4"/>
    <w:rsid w:val="00AA29FC"/>
    <w:rsid w:val="00AA2C6E"/>
    <w:rsid w:val="00AA3014"/>
    <w:rsid w:val="00AA3812"/>
    <w:rsid w:val="00AA3873"/>
    <w:rsid w:val="00AA44B6"/>
    <w:rsid w:val="00AB1C93"/>
    <w:rsid w:val="00AC4243"/>
    <w:rsid w:val="00AD0505"/>
    <w:rsid w:val="00AD1378"/>
    <w:rsid w:val="00AD5414"/>
    <w:rsid w:val="00AD5501"/>
    <w:rsid w:val="00AD67CD"/>
    <w:rsid w:val="00AE019A"/>
    <w:rsid w:val="00AE1874"/>
    <w:rsid w:val="00AE1E60"/>
    <w:rsid w:val="00AE3575"/>
    <w:rsid w:val="00AE6B83"/>
    <w:rsid w:val="00AE796E"/>
    <w:rsid w:val="00AF100C"/>
    <w:rsid w:val="00AF3FB0"/>
    <w:rsid w:val="00AF424D"/>
    <w:rsid w:val="00AF7229"/>
    <w:rsid w:val="00B00AF0"/>
    <w:rsid w:val="00B02D99"/>
    <w:rsid w:val="00B0495C"/>
    <w:rsid w:val="00B115E2"/>
    <w:rsid w:val="00B11ED2"/>
    <w:rsid w:val="00B13155"/>
    <w:rsid w:val="00B13524"/>
    <w:rsid w:val="00B1567C"/>
    <w:rsid w:val="00B15A59"/>
    <w:rsid w:val="00B25F44"/>
    <w:rsid w:val="00B315F5"/>
    <w:rsid w:val="00B31BEA"/>
    <w:rsid w:val="00B32544"/>
    <w:rsid w:val="00B34553"/>
    <w:rsid w:val="00B352B9"/>
    <w:rsid w:val="00B35CC6"/>
    <w:rsid w:val="00B369E8"/>
    <w:rsid w:val="00B36C89"/>
    <w:rsid w:val="00B401DC"/>
    <w:rsid w:val="00B40F65"/>
    <w:rsid w:val="00B41865"/>
    <w:rsid w:val="00B46587"/>
    <w:rsid w:val="00B4771E"/>
    <w:rsid w:val="00B50B4F"/>
    <w:rsid w:val="00B50DF7"/>
    <w:rsid w:val="00B5287B"/>
    <w:rsid w:val="00B52E1B"/>
    <w:rsid w:val="00B6038C"/>
    <w:rsid w:val="00B62499"/>
    <w:rsid w:val="00B65A99"/>
    <w:rsid w:val="00B7169D"/>
    <w:rsid w:val="00B74419"/>
    <w:rsid w:val="00B76561"/>
    <w:rsid w:val="00B7702B"/>
    <w:rsid w:val="00B83215"/>
    <w:rsid w:val="00B875AD"/>
    <w:rsid w:val="00B90CBF"/>
    <w:rsid w:val="00B92CB1"/>
    <w:rsid w:val="00B93F19"/>
    <w:rsid w:val="00B94869"/>
    <w:rsid w:val="00B94FA2"/>
    <w:rsid w:val="00B9601B"/>
    <w:rsid w:val="00BA0187"/>
    <w:rsid w:val="00BA1FD9"/>
    <w:rsid w:val="00BA7DCD"/>
    <w:rsid w:val="00BB077C"/>
    <w:rsid w:val="00BB090C"/>
    <w:rsid w:val="00BB417F"/>
    <w:rsid w:val="00BB667A"/>
    <w:rsid w:val="00BC12AC"/>
    <w:rsid w:val="00BC53DD"/>
    <w:rsid w:val="00BD4208"/>
    <w:rsid w:val="00BD5577"/>
    <w:rsid w:val="00BD5CA3"/>
    <w:rsid w:val="00BD5F3E"/>
    <w:rsid w:val="00BD633D"/>
    <w:rsid w:val="00BE0C46"/>
    <w:rsid w:val="00BE19ED"/>
    <w:rsid w:val="00BE2F27"/>
    <w:rsid w:val="00BE31BD"/>
    <w:rsid w:val="00BE325A"/>
    <w:rsid w:val="00BE3750"/>
    <w:rsid w:val="00BE4CF8"/>
    <w:rsid w:val="00BE505C"/>
    <w:rsid w:val="00BE53B3"/>
    <w:rsid w:val="00BE65FC"/>
    <w:rsid w:val="00BE71FC"/>
    <w:rsid w:val="00BF1BE7"/>
    <w:rsid w:val="00BF1FF5"/>
    <w:rsid w:val="00BF47EA"/>
    <w:rsid w:val="00C03B02"/>
    <w:rsid w:val="00C03BA7"/>
    <w:rsid w:val="00C05D0A"/>
    <w:rsid w:val="00C108D4"/>
    <w:rsid w:val="00C11F0E"/>
    <w:rsid w:val="00C13B87"/>
    <w:rsid w:val="00C147DA"/>
    <w:rsid w:val="00C15001"/>
    <w:rsid w:val="00C154A6"/>
    <w:rsid w:val="00C1798D"/>
    <w:rsid w:val="00C17A49"/>
    <w:rsid w:val="00C2211E"/>
    <w:rsid w:val="00C22F9C"/>
    <w:rsid w:val="00C30E18"/>
    <w:rsid w:val="00C3235D"/>
    <w:rsid w:val="00C32CED"/>
    <w:rsid w:val="00C33338"/>
    <w:rsid w:val="00C34DF3"/>
    <w:rsid w:val="00C34FD3"/>
    <w:rsid w:val="00C37165"/>
    <w:rsid w:val="00C37812"/>
    <w:rsid w:val="00C4798F"/>
    <w:rsid w:val="00C553D7"/>
    <w:rsid w:val="00C55E1E"/>
    <w:rsid w:val="00C56A96"/>
    <w:rsid w:val="00C578FA"/>
    <w:rsid w:val="00C62F28"/>
    <w:rsid w:val="00C63CB2"/>
    <w:rsid w:val="00C63D89"/>
    <w:rsid w:val="00C728EA"/>
    <w:rsid w:val="00C73A08"/>
    <w:rsid w:val="00C8352C"/>
    <w:rsid w:val="00C86A1F"/>
    <w:rsid w:val="00C87508"/>
    <w:rsid w:val="00CA1590"/>
    <w:rsid w:val="00CA56AE"/>
    <w:rsid w:val="00CB5E10"/>
    <w:rsid w:val="00CB6207"/>
    <w:rsid w:val="00CC14D3"/>
    <w:rsid w:val="00CC77FA"/>
    <w:rsid w:val="00CD0887"/>
    <w:rsid w:val="00CD14F9"/>
    <w:rsid w:val="00CD1AFD"/>
    <w:rsid w:val="00CD3183"/>
    <w:rsid w:val="00CE175B"/>
    <w:rsid w:val="00CE232B"/>
    <w:rsid w:val="00CE275C"/>
    <w:rsid w:val="00CE4382"/>
    <w:rsid w:val="00CE5E15"/>
    <w:rsid w:val="00CE749F"/>
    <w:rsid w:val="00CF5901"/>
    <w:rsid w:val="00CF5C1A"/>
    <w:rsid w:val="00D0034D"/>
    <w:rsid w:val="00D00F00"/>
    <w:rsid w:val="00D01551"/>
    <w:rsid w:val="00D04D42"/>
    <w:rsid w:val="00D05F0D"/>
    <w:rsid w:val="00D10F32"/>
    <w:rsid w:val="00D14050"/>
    <w:rsid w:val="00D16A42"/>
    <w:rsid w:val="00D16D19"/>
    <w:rsid w:val="00D20944"/>
    <w:rsid w:val="00D268E2"/>
    <w:rsid w:val="00D275CF"/>
    <w:rsid w:val="00D3177F"/>
    <w:rsid w:val="00D32C9E"/>
    <w:rsid w:val="00D4079F"/>
    <w:rsid w:val="00D42A9F"/>
    <w:rsid w:val="00D45749"/>
    <w:rsid w:val="00D464DA"/>
    <w:rsid w:val="00D46816"/>
    <w:rsid w:val="00D51FCE"/>
    <w:rsid w:val="00D55162"/>
    <w:rsid w:val="00D55916"/>
    <w:rsid w:val="00D5616E"/>
    <w:rsid w:val="00D6492A"/>
    <w:rsid w:val="00D66C65"/>
    <w:rsid w:val="00D67063"/>
    <w:rsid w:val="00D70AB9"/>
    <w:rsid w:val="00D73B6C"/>
    <w:rsid w:val="00D750E9"/>
    <w:rsid w:val="00D75E75"/>
    <w:rsid w:val="00D76D91"/>
    <w:rsid w:val="00D804F8"/>
    <w:rsid w:val="00D81CD8"/>
    <w:rsid w:val="00D857F4"/>
    <w:rsid w:val="00D87CDD"/>
    <w:rsid w:val="00D87D70"/>
    <w:rsid w:val="00D905C6"/>
    <w:rsid w:val="00D91A65"/>
    <w:rsid w:val="00D91C90"/>
    <w:rsid w:val="00D923B3"/>
    <w:rsid w:val="00D94E7D"/>
    <w:rsid w:val="00D95095"/>
    <w:rsid w:val="00D9620F"/>
    <w:rsid w:val="00DA02ED"/>
    <w:rsid w:val="00DA58A3"/>
    <w:rsid w:val="00DB0FC8"/>
    <w:rsid w:val="00DB347E"/>
    <w:rsid w:val="00DB3625"/>
    <w:rsid w:val="00DB6FD5"/>
    <w:rsid w:val="00DC0B2F"/>
    <w:rsid w:val="00DD40A6"/>
    <w:rsid w:val="00DD4CC2"/>
    <w:rsid w:val="00DD6833"/>
    <w:rsid w:val="00DE131A"/>
    <w:rsid w:val="00DE5AD3"/>
    <w:rsid w:val="00DF045E"/>
    <w:rsid w:val="00E00073"/>
    <w:rsid w:val="00E00F91"/>
    <w:rsid w:val="00E00FD8"/>
    <w:rsid w:val="00E014A2"/>
    <w:rsid w:val="00E01D30"/>
    <w:rsid w:val="00E02766"/>
    <w:rsid w:val="00E031DB"/>
    <w:rsid w:val="00E044AE"/>
    <w:rsid w:val="00E13B35"/>
    <w:rsid w:val="00E2086F"/>
    <w:rsid w:val="00E21292"/>
    <w:rsid w:val="00E212D7"/>
    <w:rsid w:val="00E24E41"/>
    <w:rsid w:val="00E37496"/>
    <w:rsid w:val="00E4063A"/>
    <w:rsid w:val="00E4150D"/>
    <w:rsid w:val="00E4219C"/>
    <w:rsid w:val="00E45445"/>
    <w:rsid w:val="00E45BE5"/>
    <w:rsid w:val="00E470D4"/>
    <w:rsid w:val="00E51F2A"/>
    <w:rsid w:val="00E553E2"/>
    <w:rsid w:val="00E645B9"/>
    <w:rsid w:val="00E64C59"/>
    <w:rsid w:val="00E65A46"/>
    <w:rsid w:val="00E72E1C"/>
    <w:rsid w:val="00E73413"/>
    <w:rsid w:val="00E73A19"/>
    <w:rsid w:val="00E73F9D"/>
    <w:rsid w:val="00E75A53"/>
    <w:rsid w:val="00E77BF2"/>
    <w:rsid w:val="00E806C6"/>
    <w:rsid w:val="00E808E1"/>
    <w:rsid w:val="00E829DE"/>
    <w:rsid w:val="00E83483"/>
    <w:rsid w:val="00E85721"/>
    <w:rsid w:val="00E86954"/>
    <w:rsid w:val="00E87D02"/>
    <w:rsid w:val="00E90D79"/>
    <w:rsid w:val="00E9125A"/>
    <w:rsid w:val="00E94904"/>
    <w:rsid w:val="00EA10A5"/>
    <w:rsid w:val="00EA1936"/>
    <w:rsid w:val="00EB34FE"/>
    <w:rsid w:val="00EB69A9"/>
    <w:rsid w:val="00EC0BA7"/>
    <w:rsid w:val="00EC0F2F"/>
    <w:rsid w:val="00EC2351"/>
    <w:rsid w:val="00EC4254"/>
    <w:rsid w:val="00EC5DF0"/>
    <w:rsid w:val="00EC7410"/>
    <w:rsid w:val="00EC7AD3"/>
    <w:rsid w:val="00ED46E5"/>
    <w:rsid w:val="00ED51F6"/>
    <w:rsid w:val="00ED7DAA"/>
    <w:rsid w:val="00EE02B5"/>
    <w:rsid w:val="00EE6772"/>
    <w:rsid w:val="00EE7D18"/>
    <w:rsid w:val="00EF0535"/>
    <w:rsid w:val="00EF6CE5"/>
    <w:rsid w:val="00F0429E"/>
    <w:rsid w:val="00F06675"/>
    <w:rsid w:val="00F07794"/>
    <w:rsid w:val="00F10DC5"/>
    <w:rsid w:val="00F11F7E"/>
    <w:rsid w:val="00F15346"/>
    <w:rsid w:val="00F21D74"/>
    <w:rsid w:val="00F23F43"/>
    <w:rsid w:val="00F25655"/>
    <w:rsid w:val="00F268B5"/>
    <w:rsid w:val="00F31BA7"/>
    <w:rsid w:val="00F40396"/>
    <w:rsid w:val="00F40A9B"/>
    <w:rsid w:val="00F40CAD"/>
    <w:rsid w:val="00F42484"/>
    <w:rsid w:val="00F427EE"/>
    <w:rsid w:val="00F433EF"/>
    <w:rsid w:val="00F45B04"/>
    <w:rsid w:val="00F47C43"/>
    <w:rsid w:val="00F50324"/>
    <w:rsid w:val="00F54B88"/>
    <w:rsid w:val="00F56411"/>
    <w:rsid w:val="00F6039D"/>
    <w:rsid w:val="00F60520"/>
    <w:rsid w:val="00F628E4"/>
    <w:rsid w:val="00F6795D"/>
    <w:rsid w:val="00F67F50"/>
    <w:rsid w:val="00F71003"/>
    <w:rsid w:val="00F72399"/>
    <w:rsid w:val="00F72DBC"/>
    <w:rsid w:val="00F73D02"/>
    <w:rsid w:val="00F76B7F"/>
    <w:rsid w:val="00F77D60"/>
    <w:rsid w:val="00F80B3E"/>
    <w:rsid w:val="00F81FE0"/>
    <w:rsid w:val="00F84C11"/>
    <w:rsid w:val="00F863A5"/>
    <w:rsid w:val="00F9059A"/>
    <w:rsid w:val="00F90A2D"/>
    <w:rsid w:val="00F91060"/>
    <w:rsid w:val="00F91A31"/>
    <w:rsid w:val="00F91A65"/>
    <w:rsid w:val="00F92696"/>
    <w:rsid w:val="00F94C35"/>
    <w:rsid w:val="00F96565"/>
    <w:rsid w:val="00F96C9C"/>
    <w:rsid w:val="00FA1D89"/>
    <w:rsid w:val="00FA39A7"/>
    <w:rsid w:val="00FA4B1F"/>
    <w:rsid w:val="00FA574A"/>
    <w:rsid w:val="00FA63D3"/>
    <w:rsid w:val="00FA754B"/>
    <w:rsid w:val="00FA796C"/>
    <w:rsid w:val="00FB0EFC"/>
    <w:rsid w:val="00FC0DE0"/>
    <w:rsid w:val="00FC6C7B"/>
    <w:rsid w:val="00FD0469"/>
    <w:rsid w:val="00FD6B50"/>
    <w:rsid w:val="00FE2ABE"/>
    <w:rsid w:val="00FE335D"/>
    <w:rsid w:val="00FE50AE"/>
    <w:rsid w:val="00FE614B"/>
    <w:rsid w:val="00FE7DF4"/>
    <w:rsid w:val="00FF0761"/>
    <w:rsid w:val="00FF38DD"/>
    <w:rsid w:val="00FF60C8"/>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6A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42"/>
    <w:rPr>
      <w:rFonts w:ascii="Tahoma" w:hAnsi="Tahoma" w:cs="Tahoma"/>
      <w:sz w:val="16"/>
      <w:szCs w:val="16"/>
    </w:rPr>
  </w:style>
  <w:style w:type="paragraph" w:styleId="BodyText2">
    <w:name w:val="Body Text 2"/>
    <w:basedOn w:val="Normal"/>
    <w:link w:val="BodyText2Char"/>
    <w:semiHidden/>
    <w:rsid w:val="003079D8"/>
    <w:pPr>
      <w:spacing w:after="0" w:line="240" w:lineRule="auto"/>
      <w:jc w:val="both"/>
    </w:pPr>
    <w:rPr>
      <w:rFonts w:ascii="Century Schoolbook" w:eastAsia="Times New Roman" w:hAnsi="Century Schoolbook" w:cs="Times New Roman"/>
      <w:szCs w:val="20"/>
    </w:rPr>
  </w:style>
  <w:style w:type="character" w:customStyle="1" w:styleId="BodyText2Char">
    <w:name w:val="Body Text 2 Char"/>
    <w:basedOn w:val="DefaultParagraphFont"/>
    <w:link w:val="BodyText2"/>
    <w:semiHidden/>
    <w:rsid w:val="003079D8"/>
    <w:rPr>
      <w:rFonts w:ascii="Century Schoolbook" w:eastAsia="Times New Roman" w:hAnsi="Century Schoolbook" w:cs="Times New Roman"/>
      <w:szCs w:val="20"/>
    </w:rPr>
  </w:style>
  <w:style w:type="table" w:styleId="TableGrid">
    <w:name w:val="Table Grid"/>
    <w:basedOn w:val="TableNormal"/>
    <w:uiPriority w:val="59"/>
    <w:rsid w:val="007B3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4FB"/>
    <w:rPr>
      <w:color w:val="0000FF" w:themeColor="hyperlink"/>
      <w:u w:val="single"/>
    </w:rPr>
  </w:style>
  <w:style w:type="character" w:styleId="FollowedHyperlink">
    <w:name w:val="FollowedHyperlink"/>
    <w:basedOn w:val="DefaultParagraphFont"/>
    <w:uiPriority w:val="99"/>
    <w:semiHidden/>
    <w:unhideWhenUsed/>
    <w:rsid w:val="002C6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6A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42"/>
    <w:rPr>
      <w:rFonts w:ascii="Tahoma" w:hAnsi="Tahoma" w:cs="Tahoma"/>
      <w:sz w:val="16"/>
      <w:szCs w:val="16"/>
    </w:rPr>
  </w:style>
  <w:style w:type="paragraph" w:styleId="BodyText2">
    <w:name w:val="Body Text 2"/>
    <w:basedOn w:val="Normal"/>
    <w:link w:val="BodyText2Char"/>
    <w:semiHidden/>
    <w:rsid w:val="003079D8"/>
    <w:pPr>
      <w:spacing w:after="0" w:line="240" w:lineRule="auto"/>
      <w:jc w:val="both"/>
    </w:pPr>
    <w:rPr>
      <w:rFonts w:ascii="Century Schoolbook" w:eastAsia="Times New Roman" w:hAnsi="Century Schoolbook" w:cs="Times New Roman"/>
      <w:szCs w:val="20"/>
    </w:rPr>
  </w:style>
  <w:style w:type="character" w:customStyle="1" w:styleId="BodyText2Char">
    <w:name w:val="Body Text 2 Char"/>
    <w:basedOn w:val="DefaultParagraphFont"/>
    <w:link w:val="BodyText2"/>
    <w:semiHidden/>
    <w:rsid w:val="003079D8"/>
    <w:rPr>
      <w:rFonts w:ascii="Century Schoolbook" w:eastAsia="Times New Roman" w:hAnsi="Century Schoolbook" w:cs="Times New Roman"/>
      <w:szCs w:val="20"/>
    </w:rPr>
  </w:style>
  <w:style w:type="table" w:styleId="TableGrid">
    <w:name w:val="Table Grid"/>
    <w:basedOn w:val="TableNormal"/>
    <w:uiPriority w:val="59"/>
    <w:rsid w:val="007B3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4FB"/>
    <w:rPr>
      <w:color w:val="0000FF" w:themeColor="hyperlink"/>
      <w:u w:val="single"/>
    </w:rPr>
  </w:style>
  <w:style w:type="character" w:styleId="FollowedHyperlink">
    <w:name w:val="FollowedHyperlink"/>
    <w:basedOn w:val="DefaultParagraphFont"/>
    <w:uiPriority w:val="99"/>
    <w:semiHidden/>
    <w:unhideWhenUsed/>
    <w:rsid w:val="002C6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978">
      <w:bodyDiv w:val="1"/>
      <w:marLeft w:val="0"/>
      <w:marRight w:val="0"/>
      <w:marTop w:val="0"/>
      <w:marBottom w:val="0"/>
      <w:divBdr>
        <w:top w:val="none" w:sz="0" w:space="0" w:color="auto"/>
        <w:left w:val="none" w:sz="0" w:space="0" w:color="auto"/>
        <w:bottom w:val="none" w:sz="0" w:space="0" w:color="auto"/>
        <w:right w:val="none" w:sz="0" w:space="0" w:color="auto"/>
      </w:divBdr>
    </w:div>
    <w:div w:id="788429244">
      <w:bodyDiv w:val="1"/>
      <w:marLeft w:val="0"/>
      <w:marRight w:val="0"/>
      <w:marTop w:val="0"/>
      <w:marBottom w:val="0"/>
      <w:divBdr>
        <w:top w:val="none" w:sz="0" w:space="0" w:color="auto"/>
        <w:left w:val="none" w:sz="0" w:space="0" w:color="auto"/>
        <w:bottom w:val="none" w:sz="0" w:space="0" w:color="auto"/>
        <w:right w:val="none" w:sz="0" w:space="0" w:color="auto"/>
      </w:divBdr>
    </w:div>
    <w:div w:id="1343320566">
      <w:bodyDiv w:val="1"/>
      <w:marLeft w:val="0"/>
      <w:marRight w:val="0"/>
      <w:marTop w:val="0"/>
      <w:marBottom w:val="0"/>
      <w:divBdr>
        <w:top w:val="none" w:sz="0" w:space="0" w:color="auto"/>
        <w:left w:val="none" w:sz="0" w:space="0" w:color="auto"/>
        <w:bottom w:val="none" w:sz="0" w:space="0" w:color="auto"/>
        <w:right w:val="none" w:sz="0" w:space="0" w:color="auto"/>
      </w:divBdr>
      <w:divsChild>
        <w:div w:id="193815030">
          <w:marLeft w:val="0"/>
          <w:marRight w:val="0"/>
          <w:marTop w:val="0"/>
          <w:marBottom w:val="0"/>
          <w:divBdr>
            <w:top w:val="none" w:sz="0" w:space="0" w:color="auto"/>
            <w:left w:val="none" w:sz="0" w:space="0" w:color="auto"/>
            <w:bottom w:val="none" w:sz="0" w:space="0" w:color="auto"/>
            <w:right w:val="none" w:sz="0" w:space="0" w:color="auto"/>
          </w:divBdr>
          <w:divsChild>
            <w:div w:id="1800495638">
              <w:marLeft w:val="0"/>
              <w:marRight w:val="0"/>
              <w:marTop w:val="0"/>
              <w:marBottom w:val="0"/>
              <w:divBdr>
                <w:top w:val="none" w:sz="0" w:space="0" w:color="auto"/>
                <w:left w:val="none" w:sz="0" w:space="0" w:color="auto"/>
                <w:bottom w:val="none" w:sz="0" w:space="0" w:color="auto"/>
                <w:right w:val="none" w:sz="0" w:space="0" w:color="auto"/>
              </w:divBdr>
              <w:divsChild>
                <w:div w:id="70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6247">
      <w:bodyDiv w:val="1"/>
      <w:marLeft w:val="0"/>
      <w:marRight w:val="0"/>
      <w:marTop w:val="0"/>
      <w:marBottom w:val="0"/>
      <w:divBdr>
        <w:top w:val="none" w:sz="0" w:space="0" w:color="auto"/>
        <w:left w:val="none" w:sz="0" w:space="0" w:color="auto"/>
        <w:bottom w:val="none" w:sz="0" w:space="0" w:color="auto"/>
        <w:right w:val="none" w:sz="0" w:space="0" w:color="auto"/>
      </w:divBdr>
    </w:div>
    <w:div w:id="2037802692">
      <w:bodyDiv w:val="1"/>
      <w:marLeft w:val="0"/>
      <w:marRight w:val="0"/>
      <w:marTop w:val="0"/>
      <w:marBottom w:val="0"/>
      <w:divBdr>
        <w:top w:val="none" w:sz="0" w:space="0" w:color="auto"/>
        <w:left w:val="none" w:sz="0" w:space="0" w:color="auto"/>
        <w:bottom w:val="none" w:sz="0" w:space="0" w:color="auto"/>
        <w:right w:val="none" w:sz="0" w:space="0" w:color="auto"/>
      </w:divBdr>
    </w:div>
    <w:div w:id="2038313757">
      <w:bodyDiv w:val="1"/>
      <w:marLeft w:val="0"/>
      <w:marRight w:val="0"/>
      <w:marTop w:val="0"/>
      <w:marBottom w:val="0"/>
      <w:divBdr>
        <w:top w:val="none" w:sz="0" w:space="0" w:color="auto"/>
        <w:left w:val="none" w:sz="0" w:space="0" w:color="auto"/>
        <w:bottom w:val="none" w:sz="0" w:space="0" w:color="auto"/>
        <w:right w:val="none" w:sz="0" w:space="0" w:color="auto"/>
      </w:divBdr>
      <w:divsChild>
        <w:div w:id="1158112750">
          <w:marLeft w:val="0"/>
          <w:marRight w:val="0"/>
          <w:marTop w:val="0"/>
          <w:marBottom w:val="0"/>
          <w:divBdr>
            <w:top w:val="none" w:sz="0" w:space="0" w:color="auto"/>
            <w:left w:val="none" w:sz="0" w:space="0" w:color="auto"/>
            <w:bottom w:val="none" w:sz="0" w:space="0" w:color="auto"/>
            <w:right w:val="none" w:sz="0" w:space="0" w:color="auto"/>
          </w:divBdr>
          <w:divsChild>
            <w:div w:id="198248941">
              <w:marLeft w:val="0"/>
              <w:marRight w:val="0"/>
              <w:marTop w:val="0"/>
              <w:marBottom w:val="0"/>
              <w:divBdr>
                <w:top w:val="none" w:sz="0" w:space="0" w:color="auto"/>
                <w:left w:val="none" w:sz="0" w:space="0" w:color="auto"/>
                <w:bottom w:val="none" w:sz="0" w:space="0" w:color="auto"/>
                <w:right w:val="none" w:sz="0" w:space="0" w:color="auto"/>
              </w:divBdr>
              <w:divsChild>
                <w:div w:id="15892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state.tx.us/taxinfo/proptax/laws/96-669_2013.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2426186545686314"/>
          <c:y val="3.1720823629440689E-2"/>
          <c:w val="0.75239264775161019"/>
          <c:h val="0.63871488535123888"/>
        </c:manualLayout>
      </c:layout>
      <c:pieChart>
        <c:varyColors val="1"/>
        <c:ser>
          <c:idx val="0"/>
          <c:order val="0"/>
          <c:tx>
            <c:strRef>
              <c:f>Sheet1!$B$1</c:f>
              <c:strCache>
                <c:ptCount val="1"/>
                <c:pt idx="0">
                  <c:v>Total Value</c:v>
                </c:pt>
              </c:strCache>
            </c:strRef>
          </c:tx>
          <c:dLbls>
            <c:dLbl>
              <c:idx val="0"/>
              <c:layout>
                <c:manualLayout>
                  <c:x val="-0.17213429769242647"/>
                  <c:y val="0.1477500075614748"/>
                </c:manualLayout>
              </c:layout>
              <c:dLblPos val="bestFit"/>
              <c:showLegendKey val="0"/>
              <c:showVal val="0"/>
              <c:showCatName val="1"/>
              <c:showSerName val="0"/>
              <c:showPercent val="1"/>
              <c:showBubbleSize val="0"/>
            </c:dLbl>
            <c:dLbl>
              <c:idx val="1"/>
              <c:layout>
                <c:manualLayout>
                  <c:x val="0"/>
                  <c:y val="-2.2495421106932697E-2"/>
                </c:manualLayout>
              </c:layout>
              <c:dLblPos val="bestFit"/>
              <c:showLegendKey val="0"/>
              <c:showVal val="0"/>
              <c:showCatName val="1"/>
              <c:showSerName val="0"/>
              <c:showPercent val="1"/>
              <c:showBubbleSize val="0"/>
            </c:dLbl>
            <c:dLbl>
              <c:idx val="2"/>
              <c:layout>
                <c:manualLayout>
                  <c:x val="-1.0482852539360182E-3"/>
                  <c:y val="8.118604252573422E-2"/>
                </c:manualLayout>
              </c:layout>
              <c:dLblPos val="bestFit"/>
              <c:showLegendKey val="0"/>
              <c:showVal val="0"/>
              <c:showCatName val="1"/>
              <c:showSerName val="0"/>
              <c:showPercent val="1"/>
              <c:showBubbleSize val="0"/>
            </c:dLbl>
            <c:dLbl>
              <c:idx val="3"/>
              <c:layout>
                <c:manualLayout>
                  <c:x val="-0.1465962003618326"/>
                  <c:y val="-0.11282204321130794"/>
                </c:manualLayout>
              </c:layout>
              <c:dLblPos val="bestFit"/>
              <c:showLegendKey val="0"/>
              <c:showVal val="0"/>
              <c:showCatName val="1"/>
              <c:showSerName val="0"/>
              <c:showPercent val="1"/>
              <c:showBubbleSize val="0"/>
            </c:dLbl>
            <c:dLbl>
              <c:idx val="6"/>
              <c:layout>
                <c:manualLayout>
                  <c:x val="-1.3406570784986718E-2"/>
                  <c:y val="4.3467389879722144E-2"/>
                </c:manualLayout>
              </c:layout>
              <c:dLblPos val="bestFit"/>
              <c:showLegendKey val="0"/>
              <c:showVal val="0"/>
              <c:showCatName val="1"/>
              <c:showSerName val="0"/>
              <c:showPercent val="1"/>
              <c:showBubbleSize val="0"/>
            </c:dLbl>
            <c:dLbl>
              <c:idx val="8"/>
              <c:layout>
                <c:manualLayout>
                  <c:x val="-1.580503794491752E-2"/>
                  <c:y val="0.15368344641938964"/>
                </c:manualLayout>
              </c:layout>
              <c:dLblPos val="bestFit"/>
              <c:showLegendKey val="0"/>
              <c:showVal val="0"/>
              <c:showCatName val="1"/>
              <c:showSerName val="0"/>
              <c:showPercent val="1"/>
              <c:showBubbleSize val="0"/>
            </c:dLbl>
            <c:spPr>
              <a:blipFill>
                <a:blip xmlns:r="http://schemas.openxmlformats.org/officeDocument/2006/relationships" r:embed="rId1"/>
                <a:tile tx="0" ty="0" sx="100000" sy="100000" flip="none" algn="tl"/>
              </a:blipFill>
            </c:spPr>
            <c:dLblPos val="bestFit"/>
            <c:showLegendKey val="0"/>
            <c:showVal val="0"/>
            <c:showCatName val="1"/>
            <c:showSerName val="0"/>
            <c:showPercent val="1"/>
            <c:showBubbleSize val="0"/>
            <c:showLeaderLines val="1"/>
          </c:dLbls>
          <c:cat>
            <c:strRef>
              <c:f>Sheet1!$A$2:$A$13</c:f>
              <c:strCache>
                <c:ptCount val="12"/>
                <c:pt idx="0">
                  <c:v>Single Family Residence</c:v>
                </c:pt>
                <c:pt idx="1">
                  <c:v>Multi-Family Residence</c:v>
                </c:pt>
                <c:pt idx="2">
                  <c:v>Vacant Lots and Land Tracts</c:v>
                </c:pt>
                <c:pt idx="3">
                  <c:v>Qualified Open-Space Land</c:v>
                </c:pt>
                <c:pt idx="4">
                  <c:v>Improvements on Qualified Open Space Land</c:v>
                </c:pt>
                <c:pt idx="5">
                  <c:v>Farm/Ranch Land &amp; Improvements</c:v>
                </c:pt>
                <c:pt idx="6">
                  <c:v>Commercial &amp; Industrial Real Property</c:v>
                </c:pt>
                <c:pt idx="7">
                  <c:v>Utilities</c:v>
                </c:pt>
                <c:pt idx="8">
                  <c:v>Commercial &amp; Industrial Personal Property</c:v>
                </c:pt>
                <c:pt idx="9">
                  <c:v>Tangible Other Personal, Mobile  Homes</c:v>
                </c:pt>
                <c:pt idx="10">
                  <c:v>Special Inventory Tax</c:v>
                </c:pt>
                <c:pt idx="11">
                  <c:v>Totally Exempt Property</c:v>
                </c:pt>
              </c:strCache>
            </c:strRef>
          </c:cat>
          <c:val>
            <c:numRef>
              <c:f>Sheet1!$B$2:$B$13</c:f>
              <c:numCache>
                <c:formatCode>"$"#,##0</c:formatCode>
                <c:ptCount val="12"/>
                <c:pt idx="0">
                  <c:v>2524220978</c:v>
                </c:pt>
                <c:pt idx="1">
                  <c:v>131002615</c:v>
                </c:pt>
                <c:pt idx="2">
                  <c:v>130212230</c:v>
                </c:pt>
                <c:pt idx="3">
                  <c:v>1051234318</c:v>
                </c:pt>
                <c:pt idx="4">
                  <c:v>44368596</c:v>
                </c:pt>
                <c:pt idx="5">
                  <c:v>200936092</c:v>
                </c:pt>
                <c:pt idx="6">
                  <c:v>555709637</c:v>
                </c:pt>
                <c:pt idx="7">
                  <c:v>140792546</c:v>
                </c:pt>
                <c:pt idx="8">
                  <c:v>653597647</c:v>
                </c:pt>
                <c:pt idx="9">
                  <c:v>34431378</c:v>
                </c:pt>
                <c:pt idx="10">
                  <c:v>20143180</c:v>
                </c:pt>
                <c:pt idx="11">
                  <c:v>2133416858</c:v>
                </c:pt>
              </c:numCache>
            </c:numRef>
          </c:val>
        </c:ser>
        <c:ser>
          <c:idx val="1"/>
          <c:order val="1"/>
          <c:tx>
            <c:strRef>
              <c:f>Sheet1!$C$1</c:f>
              <c:strCache>
                <c:ptCount val="1"/>
                <c:pt idx="0">
                  <c:v>Percentage</c:v>
                </c:pt>
              </c:strCache>
            </c:strRef>
          </c:tx>
          <c:cat>
            <c:strRef>
              <c:f>Sheet1!$A$2:$A$13</c:f>
              <c:strCache>
                <c:ptCount val="12"/>
                <c:pt idx="0">
                  <c:v>Single Family Residence</c:v>
                </c:pt>
                <c:pt idx="1">
                  <c:v>Multi-Family Residence</c:v>
                </c:pt>
                <c:pt idx="2">
                  <c:v>Vacant Lots and Land Tracts</c:v>
                </c:pt>
                <c:pt idx="3">
                  <c:v>Qualified Open-Space Land</c:v>
                </c:pt>
                <c:pt idx="4">
                  <c:v>Improvements on Qualified Open Space Land</c:v>
                </c:pt>
                <c:pt idx="5">
                  <c:v>Farm/Ranch Land &amp; Improvements</c:v>
                </c:pt>
                <c:pt idx="6">
                  <c:v>Commercial &amp; Industrial Real Property</c:v>
                </c:pt>
                <c:pt idx="7">
                  <c:v>Utilities</c:v>
                </c:pt>
                <c:pt idx="8">
                  <c:v>Commercial &amp; Industrial Personal Property</c:v>
                </c:pt>
                <c:pt idx="9">
                  <c:v>Tangible Other Personal, Mobile  Homes</c:v>
                </c:pt>
                <c:pt idx="10">
                  <c:v>Special Inventory Tax</c:v>
                </c:pt>
                <c:pt idx="11">
                  <c:v>Totally Exempt Property</c:v>
                </c:pt>
              </c:strCache>
            </c:strRef>
          </c:cat>
          <c:val>
            <c:numRef>
              <c:f>Sheet1!$C$2:$C$13</c:f>
              <c:numCache>
                <c:formatCode>0.00%</c:formatCode>
                <c:ptCount val="12"/>
                <c:pt idx="0">
                  <c:v>0.33125972309892338</c:v>
                </c:pt>
                <c:pt idx="1">
                  <c:v>1.7191795151198869E-2</c:v>
                </c:pt>
                <c:pt idx="2">
                  <c:v>1.7088070985001268E-2</c:v>
                </c:pt>
                <c:pt idx="3">
                  <c:v>0.13795606332718052</c:v>
                </c:pt>
                <c:pt idx="4">
                  <c:v>5.8225999044240568E-3</c:v>
                </c:pt>
                <c:pt idx="5">
                  <c:v>2.6369337223890149E-2</c:v>
                </c:pt>
                <c:pt idx="6">
                  <c:v>7.2927141514320795E-2</c:v>
                </c:pt>
                <c:pt idx="7">
                  <c:v>1.8476551858508654E-2</c:v>
                </c:pt>
                <c:pt idx="8">
                  <c:v>8.577322566064495E-2</c:v>
                </c:pt>
                <c:pt idx="9">
                  <c:v>4.5185143620949508E-3</c:v>
                </c:pt>
                <c:pt idx="10">
                  <c:v>2.6434390203105948E-3</c:v>
                </c:pt>
                <c:pt idx="11">
                  <c:v>0.27997353789350182</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Petree</dc:creator>
  <cp:lastModifiedBy>Brent South</cp:lastModifiedBy>
  <cp:revision>2</cp:revision>
  <cp:lastPrinted>2013-09-19T15:23:00Z</cp:lastPrinted>
  <dcterms:created xsi:type="dcterms:W3CDTF">2013-09-23T18:10:00Z</dcterms:created>
  <dcterms:modified xsi:type="dcterms:W3CDTF">2013-09-23T18:10:00Z</dcterms:modified>
</cp:coreProperties>
</file>